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7EF" w:rsidRPr="002E6CA7" w:rsidRDefault="008F07EF" w:rsidP="008F07EF">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2F325C" w:rsidP="00D07EE4">
      <w:pPr>
        <w:jc w:val="center"/>
        <w:rPr>
          <w:sz w:val="24"/>
          <w:szCs w:val="24"/>
        </w:rPr>
      </w:pPr>
      <w:r w:rsidRPr="002E6CA7">
        <w:rPr>
          <w:b/>
          <w:sz w:val="24"/>
          <w:szCs w:val="24"/>
        </w:rPr>
        <w:t>CRITERIA FOR INSTITUTIONS TO PARTICIPATE IN THE H</w:t>
      </w:r>
      <w:r>
        <w:rPr>
          <w:b/>
          <w:sz w:val="24"/>
          <w:szCs w:val="24"/>
        </w:rPr>
        <w:t xml:space="preserve">OUSING </w:t>
      </w:r>
      <w:r w:rsidRPr="002E6CA7">
        <w:rPr>
          <w:b/>
          <w:sz w:val="24"/>
          <w:szCs w:val="24"/>
        </w:rPr>
        <w:t>M</w:t>
      </w:r>
      <w:r>
        <w:rPr>
          <w:b/>
          <w:sz w:val="24"/>
          <w:szCs w:val="24"/>
        </w:rPr>
        <w:t>ICROFINANCE FUND</w:t>
      </w: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9D41ED" w:rsidRPr="002E6CA7" w:rsidRDefault="009D41ED" w:rsidP="00D07EE4">
      <w:pPr>
        <w:jc w:val="center"/>
        <w:rPr>
          <w:sz w:val="24"/>
          <w:szCs w:val="24"/>
        </w:rPr>
      </w:pPr>
    </w:p>
    <w:p w:rsidR="00281618" w:rsidRPr="00281618" w:rsidRDefault="00281618" w:rsidP="00281618">
      <w:pPr>
        <w:tabs>
          <w:tab w:val="left" w:pos="2220"/>
        </w:tabs>
        <w:spacing w:line="360" w:lineRule="auto"/>
        <w:ind w:left="-5"/>
        <w:jc w:val="center"/>
        <w:rPr>
          <w:b/>
          <w:sz w:val="24"/>
          <w:szCs w:val="24"/>
        </w:rPr>
      </w:pPr>
      <w:r>
        <w:rPr>
          <w:b/>
          <w:sz w:val="24"/>
          <w:szCs w:val="24"/>
        </w:rPr>
        <w:t>April</w:t>
      </w:r>
      <w:r w:rsidR="009D41ED" w:rsidRPr="00281618">
        <w:rPr>
          <w:b/>
          <w:sz w:val="24"/>
          <w:szCs w:val="24"/>
        </w:rPr>
        <w:t>, 2015</w:t>
      </w:r>
    </w:p>
    <w:p w:rsidR="00281618" w:rsidRDefault="00281618" w:rsidP="00281618">
      <w:pPr>
        <w:tabs>
          <w:tab w:val="left" w:pos="2220"/>
        </w:tabs>
        <w:spacing w:line="360" w:lineRule="auto"/>
        <w:ind w:left="-5"/>
        <w:rPr>
          <w:sz w:val="24"/>
          <w:szCs w:val="24"/>
        </w:rPr>
      </w:pPr>
      <w:r>
        <w:rPr>
          <w:sz w:val="24"/>
          <w:szCs w:val="24"/>
        </w:rPr>
        <w:br w:type="page"/>
      </w:r>
    </w:p>
    <w:p w:rsidR="007B043E" w:rsidRPr="002E6CA7" w:rsidRDefault="00021FE6" w:rsidP="00021FE6">
      <w:pPr>
        <w:spacing w:line="360" w:lineRule="auto"/>
        <w:ind w:left="-5"/>
        <w:jc w:val="center"/>
        <w:rPr>
          <w:b/>
          <w:sz w:val="24"/>
          <w:szCs w:val="24"/>
        </w:rPr>
      </w:pPr>
      <w:r>
        <w:rPr>
          <w:b/>
          <w:sz w:val="24"/>
          <w:szCs w:val="24"/>
        </w:rPr>
        <w:t xml:space="preserve">1.0 </w:t>
      </w:r>
      <w:r w:rsidR="00252B97">
        <w:rPr>
          <w:b/>
          <w:sz w:val="24"/>
          <w:szCs w:val="24"/>
        </w:rPr>
        <w:t>PREAMBLE</w:t>
      </w:r>
      <w:r w:rsidR="007B043E" w:rsidRPr="002E6CA7">
        <w:rPr>
          <w:b/>
          <w:sz w:val="24"/>
          <w:szCs w:val="24"/>
        </w:rPr>
        <w:br/>
      </w:r>
    </w:p>
    <w:p w:rsidR="00281618" w:rsidRDefault="007B043E" w:rsidP="007B043E">
      <w:pPr>
        <w:spacing w:line="360" w:lineRule="auto"/>
        <w:ind w:left="-5"/>
        <w:rPr>
          <w:sz w:val="24"/>
          <w:szCs w:val="24"/>
        </w:rPr>
      </w:pPr>
      <w:r w:rsidRPr="007B043E">
        <w:rPr>
          <w:sz w:val="24"/>
          <w:szCs w:val="24"/>
        </w:rPr>
        <w:t>The housing challenges in Tanzania</w:t>
      </w:r>
      <w:bookmarkStart w:id="0" w:name="_GoBack"/>
      <w:bookmarkEnd w:id="0"/>
      <w:r w:rsidRPr="007B043E">
        <w:rPr>
          <w:sz w:val="24"/>
          <w:szCs w:val="24"/>
        </w:rPr>
        <w:t xml:space="preserve"> are multiple ranging from rapid urbanization, infrastructure issues, provision of long term finance, supply of affordable housing and property/title registration. In a bid to address these challenges the Government of Tanzania (GOT) signed a Credit Agreement with the International Development Association (IDA) for the Housing Finance Project (HFP) in March 2010 and mandated BOT to be an Implementing </w:t>
      </w:r>
      <w:r w:rsidR="00412927">
        <w:rPr>
          <w:sz w:val="24"/>
          <w:szCs w:val="24"/>
        </w:rPr>
        <w:t>Agency</w:t>
      </w:r>
      <w:r w:rsidRPr="007B043E">
        <w:rPr>
          <w:sz w:val="24"/>
          <w:szCs w:val="24"/>
        </w:rPr>
        <w:t xml:space="preserve">. The HFP is a USD 40 million project whose development objective is to expand access to affordable housing finance under market-based conditions for the purchase, construction, or improvement of housing. The project has three components namely </w:t>
      </w:r>
      <w:r w:rsidR="00252B97">
        <w:rPr>
          <w:sz w:val="24"/>
          <w:szCs w:val="24"/>
        </w:rPr>
        <w:t xml:space="preserve">(1) </w:t>
      </w:r>
      <w:r w:rsidRPr="007B043E">
        <w:rPr>
          <w:sz w:val="24"/>
          <w:szCs w:val="24"/>
        </w:rPr>
        <w:t xml:space="preserve">Development of the mortgage market; </w:t>
      </w:r>
      <w:r w:rsidR="00252B97">
        <w:rPr>
          <w:sz w:val="24"/>
          <w:szCs w:val="24"/>
        </w:rPr>
        <w:t xml:space="preserve">(2) </w:t>
      </w:r>
      <w:r w:rsidRPr="007B043E">
        <w:rPr>
          <w:sz w:val="24"/>
          <w:szCs w:val="24"/>
        </w:rPr>
        <w:t>Expanding access to housing microfinance; and</w:t>
      </w:r>
      <w:r w:rsidR="00252B97">
        <w:rPr>
          <w:sz w:val="24"/>
          <w:szCs w:val="24"/>
        </w:rPr>
        <w:t xml:space="preserve"> (3)</w:t>
      </w:r>
      <w:r w:rsidRPr="007B043E">
        <w:rPr>
          <w:sz w:val="24"/>
          <w:szCs w:val="24"/>
        </w:rPr>
        <w:t xml:space="preserve"> Expanding the supply of affordable housing by private developers.</w:t>
      </w:r>
      <w:r w:rsidR="00281618">
        <w:rPr>
          <w:sz w:val="24"/>
          <w:szCs w:val="24"/>
        </w:rPr>
        <w:t xml:space="preserve"> </w:t>
      </w:r>
    </w:p>
    <w:p w:rsidR="007B043E" w:rsidRPr="007B043E" w:rsidRDefault="00281618" w:rsidP="007B043E">
      <w:pPr>
        <w:spacing w:line="360" w:lineRule="auto"/>
        <w:ind w:left="-5"/>
        <w:rPr>
          <w:sz w:val="24"/>
          <w:szCs w:val="24"/>
        </w:rPr>
      </w:pPr>
      <w:r>
        <w:rPr>
          <w:sz w:val="24"/>
          <w:szCs w:val="24"/>
        </w:rPr>
        <w:t xml:space="preserve">Further, in March 2015, the GOT signed another </w:t>
      </w:r>
      <w:r w:rsidRPr="00281618">
        <w:rPr>
          <w:sz w:val="24"/>
          <w:szCs w:val="24"/>
        </w:rPr>
        <w:t>Credit Agreement with the IDA</w:t>
      </w:r>
      <w:r>
        <w:rPr>
          <w:sz w:val="24"/>
          <w:szCs w:val="24"/>
        </w:rPr>
        <w:t xml:space="preserve"> for the HFP Additional Finance. The HFP Additional Finance is a USD 60 million project with the same development objective as the parent HFP with same components.</w:t>
      </w:r>
    </w:p>
    <w:p w:rsidR="007B043E" w:rsidRPr="007B043E" w:rsidRDefault="00252B97" w:rsidP="007B043E">
      <w:pPr>
        <w:spacing w:line="360" w:lineRule="auto"/>
        <w:ind w:left="-5"/>
        <w:rPr>
          <w:sz w:val="24"/>
          <w:szCs w:val="24"/>
        </w:rPr>
      </w:pPr>
      <w:r>
        <w:rPr>
          <w:sz w:val="24"/>
          <w:szCs w:val="24"/>
        </w:rPr>
        <w:t xml:space="preserve">The </w:t>
      </w:r>
      <w:r w:rsidRPr="00252B97">
        <w:rPr>
          <w:sz w:val="24"/>
          <w:szCs w:val="24"/>
        </w:rPr>
        <w:t xml:space="preserve">Housing Microfinance Fund </w:t>
      </w:r>
      <w:r>
        <w:rPr>
          <w:sz w:val="24"/>
          <w:szCs w:val="24"/>
        </w:rPr>
        <w:t xml:space="preserve">(HMFF) falls under Component II. </w:t>
      </w:r>
      <w:r w:rsidR="007B043E" w:rsidRPr="007B043E">
        <w:rPr>
          <w:sz w:val="24"/>
          <w:szCs w:val="24"/>
        </w:rPr>
        <w:t xml:space="preserve">The main objective of this Component is to develop access to medium-term affordable housing microfinance. This follows the observation that income levels across most of Tanzania remain low and housing-microfinance may be better suited than traditional mortgages to the needs of many borrowers. The component therefore targets the middle/low income Tanzanians who may be working in the informal sector or who may not be able to provide a property title as collateral. </w:t>
      </w:r>
    </w:p>
    <w:p w:rsidR="007B043E" w:rsidRPr="007B043E" w:rsidRDefault="007B043E" w:rsidP="007B043E">
      <w:pPr>
        <w:spacing w:line="360" w:lineRule="auto"/>
        <w:ind w:left="-5"/>
        <w:rPr>
          <w:sz w:val="24"/>
          <w:szCs w:val="24"/>
        </w:rPr>
      </w:pPr>
      <w:r w:rsidRPr="007B043E">
        <w:rPr>
          <w:sz w:val="24"/>
          <w:szCs w:val="24"/>
        </w:rPr>
        <w:t xml:space="preserve">Initiatives for implementation of </w:t>
      </w:r>
      <w:r w:rsidR="00252B97">
        <w:rPr>
          <w:sz w:val="24"/>
          <w:szCs w:val="24"/>
        </w:rPr>
        <w:t>c</w:t>
      </w:r>
      <w:r w:rsidR="00252B97" w:rsidRPr="007B043E">
        <w:rPr>
          <w:sz w:val="24"/>
          <w:szCs w:val="24"/>
        </w:rPr>
        <w:t xml:space="preserve">omponent </w:t>
      </w:r>
      <w:r w:rsidRPr="007B043E">
        <w:rPr>
          <w:sz w:val="24"/>
          <w:szCs w:val="24"/>
        </w:rPr>
        <w:t>II include</w:t>
      </w:r>
      <w:r w:rsidR="00252B97">
        <w:rPr>
          <w:sz w:val="24"/>
          <w:szCs w:val="24"/>
        </w:rPr>
        <w:t>d</w:t>
      </w:r>
      <w:r w:rsidRPr="007B043E">
        <w:rPr>
          <w:sz w:val="24"/>
          <w:szCs w:val="24"/>
        </w:rPr>
        <w:t xml:space="preserve"> a Housing Microfinance Market Study which was carried out by Frankfurt School of Finance </w:t>
      </w:r>
      <w:r w:rsidR="00252B97">
        <w:rPr>
          <w:sz w:val="24"/>
          <w:szCs w:val="24"/>
        </w:rPr>
        <w:t>from</w:t>
      </w:r>
      <w:r w:rsidR="00252B97" w:rsidRPr="007B043E">
        <w:rPr>
          <w:sz w:val="24"/>
          <w:szCs w:val="24"/>
        </w:rPr>
        <w:t xml:space="preserve"> </w:t>
      </w:r>
      <w:r w:rsidRPr="007B043E">
        <w:rPr>
          <w:sz w:val="24"/>
          <w:szCs w:val="24"/>
        </w:rPr>
        <w:t xml:space="preserve">March 2012 and work was completed during 2013. The objective of the study was to conduct a comprehensive assessment of prospects and obstacles to development of housing microfinance; and to determine demand and supply of housing microfinance that could form basis of business plans for lenders wishing to enter the market. The study also provided recommendations for the design and implementation of a comprehensive capacity building program, and developing and implementing a training and dissemination program. A baseline market analysis on housing microfinance in Tanzania, which included a demand-supply study for HMF products, and obstacles to its development both in terms of legal and regulatory constraints, as well as the market mechanisms and lender capacity, was established. </w:t>
      </w:r>
    </w:p>
    <w:p w:rsidR="007B043E" w:rsidRPr="007B043E" w:rsidRDefault="007B043E" w:rsidP="007B043E">
      <w:pPr>
        <w:spacing w:line="360" w:lineRule="auto"/>
        <w:ind w:left="-5"/>
        <w:rPr>
          <w:sz w:val="24"/>
          <w:szCs w:val="24"/>
        </w:rPr>
      </w:pPr>
      <w:r w:rsidRPr="007B043E">
        <w:rPr>
          <w:sz w:val="24"/>
          <w:szCs w:val="24"/>
        </w:rPr>
        <w:lastRenderedPageBreak/>
        <w:t>Key findings of the study included the fact that the existing mortgage market excludes the vast majority of the population due to their low income levels. Further, the study established that there is a high demand for housing microfinance products with potential demand being over TZS 700 billion compared to the supply, which based on the outstanding balances of the few suppliers of HMF loans was only TZS 2 billion. The study also highlighted some hurdles encountered by low income earners in accessing mortgage financing which included their inability to provide documented proof of their incomes which makes it difficult for commercial banks to provide them with financial services including mortgage financing. However, such obstacles are minimal for microfinance institutions in which case they have a lot to offer in terms of lending methodologies. The other limitation low income earners encounter was on the volatility of income, fear of high interest rates and lack of collateral.</w:t>
      </w:r>
    </w:p>
    <w:p w:rsidR="007B043E" w:rsidRPr="007B043E" w:rsidRDefault="007B043E" w:rsidP="007B043E">
      <w:pPr>
        <w:spacing w:line="360" w:lineRule="auto"/>
        <w:ind w:left="-5"/>
        <w:rPr>
          <w:sz w:val="24"/>
          <w:szCs w:val="24"/>
        </w:rPr>
      </w:pPr>
      <w:r w:rsidRPr="007B043E">
        <w:rPr>
          <w:sz w:val="24"/>
          <w:szCs w:val="24"/>
        </w:rPr>
        <w:t xml:space="preserve">To address challenges highlighted in the study mentioned above, a liquidity facility, HMFF, for provision of housing microfinance loans to lower segments of the society was created. The establishment of HMFF is designed to provide liquidity to </w:t>
      </w:r>
      <w:r w:rsidR="00252B97">
        <w:rPr>
          <w:sz w:val="24"/>
          <w:szCs w:val="24"/>
        </w:rPr>
        <w:t>financial institutions</w:t>
      </w:r>
      <w:r w:rsidR="00252B97" w:rsidRPr="007B043E">
        <w:rPr>
          <w:sz w:val="24"/>
          <w:szCs w:val="24"/>
        </w:rPr>
        <w:t xml:space="preserve"> </w:t>
      </w:r>
      <w:r w:rsidRPr="007B043E">
        <w:rPr>
          <w:sz w:val="24"/>
          <w:szCs w:val="24"/>
        </w:rPr>
        <w:t>for them to engage in provision of long and medium term Housing Microfinance loan products at reasonable cost, relaxed collateral requirements and hence reach a wider section of homebuilders who may not qualify for traditional mortgages mortgage loans</w:t>
      </w:r>
      <w:r w:rsidR="00876CA0">
        <w:rPr>
          <w:sz w:val="24"/>
          <w:szCs w:val="24"/>
        </w:rPr>
        <w:t xml:space="preserve"> </w:t>
      </w:r>
      <w:r w:rsidR="00876CA0" w:rsidRPr="009C3B6C">
        <w:rPr>
          <w:sz w:val="24"/>
          <w:szCs w:val="24"/>
        </w:rPr>
        <w:t xml:space="preserve">and/or who intend to use funds for renovation or incremental construction.  </w:t>
      </w:r>
      <w:r w:rsidRPr="007B043E">
        <w:rPr>
          <w:sz w:val="24"/>
          <w:szCs w:val="24"/>
        </w:rPr>
        <w:t xml:space="preserve">This will enable a wider population to gain access to housing microfinance thereby reduction of poverty in line with Tanzania’s poverty reduction strategy. HMFF will also provide technical support (capacity building programme) to the </w:t>
      </w:r>
      <w:r w:rsidR="00021FE6">
        <w:rPr>
          <w:sz w:val="24"/>
          <w:szCs w:val="24"/>
        </w:rPr>
        <w:t>financial institutions</w:t>
      </w:r>
      <w:r w:rsidR="00021FE6" w:rsidRPr="007B043E">
        <w:rPr>
          <w:sz w:val="24"/>
          <w:szCs w:val="24"/>
        </w:rPr>
        <w:t xml:space="preserve"> </w:t>
      </w:r>
      <w:r w:rsidRPr="007B043E">
        <w:rPr>
          <w:sz w:val="24"/>
          <w:szCs w:val="24"/>
        </w:rPr>
        <w:t>to enhance their capacity to effectively manage Housing Loans underwriting procedures and risk management techniques for such products.</w:t>
      </w:r>
    </w:p>
    <w:p w:rsidR="007B043E" w:rsidRPr="007B043E" w:rsidRDefault="007B043E" w:rsidP="007B043E">
      <w:pPr>
        <w:spacing w:line="360" w:lineRule="auto"/>
        <w:ind w:left="-5"/>
        <w:rPr>
          <w:sz w:val="24"/>
          <w:szCs w:val="24"/>
        </w:rPr>
      </w:pPr>
      <w:r w:rsidRPr="007B043E">
        <w:rPr>
          <w:sz w:val="24"/>
          <w:szCs w:val="24"/>
        </w:rPr>
        <w:t xml:space="preserve">HMFF was formally established in April 2014 through a </w:t>
      </w:r>
      <w:r w:rsidRPr="007B043E">
        <w:rPr>
          <w:i/>
          <w:sz w:val="24"/>
          <w:szCs w:val="24"/>
        </w:rPr>
        <w:t>Public Finance (Housing Micro Finance Fund Establishment) Order 2014</w:t>
      </w:r>
      <w:r w:rsidRPr="007B043E">
        <w:rPr>
          <w:sz w:val="24"/>
          <w:szCs w:val="24"/>
        </w:rPr>
        <w:t xml:space="preserve"> issued by the Minister for Finance. The Order was published in the Government Notice No. 128. Further, an Agency Agreement between the Ministry of Finance (MOF) and the </w:t>
      </w:r>
      <w:r w:rsidR="00021FE6">
        <w:rPr>
          <w:sz w:val="24"/>
          <w:szCs w:val="24"/>
        </w:rPr>
        <w:t>BOT</w:t>
      </w:r>
      <w:r w:rsidRPr="007B043E">
        <w:rPr>
          <w:sz w:val="24"/>
          <w:szCs w:val="24"/>
        </w:rPr>
        <w:t xml:space="preserve"> was signed in May 2014</w:t>
      </w:r>
      <w:r w:rsidR="00021FE6">
        <w:rPr>
          <w:sz w:val="24"/>
          <w:szCs w:val="24"/>
        </w:rPr>
        <w:t xml:space="preserve"> for the latter to implement the five years pilot phase</w:t>
      </w:r>
      <w:r w:rsidRPr="007B043E">
        <w:rPr>
          <w:sz w:val="24"/>
          <w:szCs w:val="24"/>
        </w:rPr>
        <w:t>.</w:t>
      </w:r>
    </w:p>
    <w:p w:rsidR="007B043E" w:rsidRPr="007B043E" w:rsidRDefault="007B043E" w:rsidP="007B043E">
      <w:pPr>
        <w:spacing w:line="360" w:lineRule="auto"/>
        <w:ind w:left="-5"/>
        <w:rPr>
          <w:sz w:val="24"/>
          <w:szCs w:val="24"/>
        </w:rPr>
      </w:pPr>
      <w:r w:rsidRPr="007B043E">
        <w:rPr>
          <w:sz w:val="24"/>
          <w:szCs w:val="24"/>
        </w:rPr>
        <w:t>The Fund will initially be financed by</w:t>
      </w:r>
      <w:r w:rsidR="00021FE6">
        <w:rPr>
          <w:sz w:val="24"/>
          <w:szCs w:val="24"/>
        </w:rPr>
        <w:t xml:space="preserve"> the GOT through a Credit from</w:t>
      </w:r>
      <w:r w:rsidRPr="007B043E">
        <w:rPr>
          <w:sz w:val="24"/>
          <w:szCs w:val="24"/>
        </w:rPr>
        <w:t xml:space="preserve"> IDA to the tune of USD </w:t>
      </w:r>
      <w:r w:rsidR="00021FE6">
        <w:rPr>
          <w:sz w:val="24"/>
          <w:szCs w:val="24"/>
        </w:rPr>
        <w:t>18</w:t>
      </w:r>
      <w:r w:rsidRPr="007B043E">
        <w:rPr>
          <w:sz w:val="24"/>
          <w:szCs w:val="24"/>
        </w:rPr>
        <w:t xml:space="preserve">.0 million. </w:t>
      </w:r>
    </w:p>
    <w:p w:rsidR="00D07EE4" w:rsidRPr="00C64883" w:rsidRDefault="007B043E" w:rsidP="00D07EE4">
      <w:pPr>
        <w:jc w:val="center"/>
        <w:rPr>
          <w:b/>
          <w:sz w:val="24"/>
          <w:szCs w:val="24"/>
          <w:lang w:val="en-GB"/>
        </w:rPr>
      </w:pPr>
      <w:r w:rsidRPr="002E6CA7">
        <w:rPr>
          <w:sz w:val="24"/>
          <w:szCs w:val="24"/>
          <w:lang w:val="en-GB"/>
        </w:rPr>
        <w:br w:type="page"/>
      </w:r>
      <w:r w:rsidR="00021FE6" w:rsidRPr="00C64883">
        <w:rPr>
          <w:b/>
          <w:sz w:val="24"/>
          <w:szCs w:val="24"/>
          <w:lang w:val="en-GB"/>
        </w:rPr>
        <w:lastRenderedPageBreak/>
        <w:t>2.0 THE GUIDELINES</w:t>
      </w:r>
    </w:p>
    <w:p w:rsidR="000936E6" w:rsidRPr="002E6CA7" w:rsidRDefault="000936E6" w:rsidP="008F07EF">
      <w:pPr>
        <w:jc w:val="center"/>
        <w:rPr>
          <w:sz w:val="24"/>
          <w:szCs w:val="24"/>
        </w:rPr>
      </w:pPr>
    </w:p>
    <w:p w:rsidR="00D07EE4" w:rsidRPr="002E6CA7" w:rsidRDefault="00D07EE4" w:rsidP="00D07EE4">
      <w:pPr>
        <w:ind w:left="720"/>
        <w:rPr>
          <w:sz w:val="24"/>
          <w:szCs w:val="24"/>
        </w:rPr>
      </w:pPr>
    </w:p>
    <w:tbl>
      <w:tblPr>
        <w:tblW w:w="5364" w:type="pct"/>
        <w:tblLook w:val="0000" w:firstRow="0" w:lastRow="0" w:firstColumn="0" w:lastColumn="0" w:noHBand="0" w:noVBand="0"/>
      </w:tblPr>
      <w:tblGrid>
        <w:gridCol w:w="2325"/>
        <w:gridCol w:w="8223"/>
      </w:tblGrid>
      <w:tr w:rsidR="00FC70BD" w:rsidRPr="002E6CA7" w:rsidTr="002B7476">
        <w:trPr>
          <w:trHeight w:val="207"/>
        </w:trPr>
        <w:tc>
          <w:tcPr>
            <w:tcW w:w="1102" w:type="pct"/>
          </w:tcPr>
          <w:p w:rsidR="00FC70BD" w:rsidRPr="00C64883" w:rsidRDefault="00FC70BD" w:rsidP="002B7476">
            <w:pPr>
              <w:jc w:val="left"/>
              <w:rPr>
                <w:b/>
                <w:sz w:val="24"/>
                <w:szCs w:val="24"/>
              </w:rPr>
            </w:pPr>
            <w:r w:rsidRPr="00C64883">
              <w:rPr>
                <w:b/>
                <w:sz w:val="24"/>
                <w:szCs w:val="24"/>
              </w:rPr>
              <w:t>Objectives</w:t>
            </w:r>
          </w:p>
        </w:tc>
        <w:tc>
          <w:tcPr>
            <w:tcW w:w="3898" w:type="pct"/>
          </w:tcPr>
          <w:p w:rsidR="00FC70BD" w:rsidRPr="008B15E5" w:rsidRDefault="00FC70BD" w:rsidP="00021FE6">
            <w:pPr>
              <w:numPr>
                <w:ilvl w:val="0"/>
                <w:numId w:val="16"/>
              </w:numPr>
              <w:ind w:left="286" w:hanging="270"/>
              <w:rPr>
                <w:rFonts w:eastAsia="Calibri"/>
                <w:sz w:val="24"/>
                <w:szCs w:val="24"/>
              </w:rPr>
            </w:pPr>
            <w:r w:rsidRPr="002E6CA7">
              <w:rPr>
                <w:rFonts w:eastAsia="Calibri"/>
                <w:sz w:val="24"/>
                <w:szCs w:val="24"/>
              </w:rPr>
              <w:t xml:space="preserve">The objectives of these </w:t>
            </w:r>
            <w:r w:rsidR="000B72E0" w:rsidRPr="002E6CA7">
              <w:rPr>
                <w:rFonts w:eastAsia="Calibri"/>
                <w:sz w:val="24"/>
                <w:szCs w:val="24"/>
              </w:rPr>
              <w:t>g</w:t>
            </w:r>
            <w:r w:rsidR="00D07EE4" w:rsidRPr="002E6CA7">
              <w:rPr>
                <w:rFonts w:eastAsia="Calibri"/>
                <w:sz w:val="24"/>
                <w:szCs w:val="24"/>
              </w:rPr>
              <w:t>uidelines</w:t>
            </w:r>
            <w:r w:rsidRPr="002E6CA7">
              <w:rPr>
                <w:rFonts w:eastAsia="Calibri"/>
                <w:sz w:val="24"/>
                <w:szCs w:val="24"/>
              </w:rPr>
              <w:t xml:space="preserve"> are </w:t>
            </w:r>
            <w:r w:rsidRPr="002E6CA7">
              <w:rPr>
                <w:sz w:val="24"/>
                <w:szCs w:val="24"/>
                <w:lang w:val="en-GB"/>
              </w:rPr>
              <w:t>to</w:t>
            </w:r>
            <w:r w:rsidR="00BB3F1D" w:rsidRPr="002E6CA7">
              <w:rPr>
                <w:sz w:val="24"/>
                <w:szCs w:val="24"/>
                <w:lang w:val="en-GB"/>
              </w:rPr>
              <w:t xml:space="preserve"> provide </w:t>
            </w:r>
            <w:r w:rsidR="00EF024B" w:rsidRPr="002E6CA7">
              <w:rPr>
                <w:sz w:val="24"/>
                <w:szCs w:val="24"/>
                <w:lang w:val="en-GB"/>
              </w:rPr>
              <w:t xml:space="preserve">eligibility </w:t>
            </w:r>
            <w:r w:rsidR="00BB3F1D" w:rsidRPr="002E6CA7">
              <w:rPr>
                <w:sz w:val="24"/>
                <w:szCs w:val="24"/>
                <w:lang w:val="en-GB"/>
              </w:rPr>
              <w:t>criteria for microfinance and banking institutions</w:t>
            </w:r>
            <w:r w:rsidR="00EF024B" w:rsidRPr="002E6CA7">
              <w:rPr>
                <w:sz w:val="24"/>
                <w:szCs w:val="24"/>
                <w:lang w:val="en-GB"/>
              </w:rPr>
              <w:t xml:space="preserve"> that wish to participate and </w:t>
            </w:r>
            <w:r w:rsidR="00BB3F1D" w:rsidRPr="002E6CA7">
              <w:rPr>
                <w:sz w:val="24"/>
                <w:szCs w:val="24"/>
                <w:lang w:val="en-GB"/>
              </w:rPr>
              <w:t>obtain loans from the HMFF</w:t>
            </w:r>
            <w:r w:rsidR="00EF024B" w:rsidRPr="002E6CA7">
              <w:rPr>
                <w:sz w:val="24"/>
                <w:szCs w:val="24"/>
                <w:lang w:val="en-GB"/>
              </w:rPr>
              <w:t xml:space="preserve"> for on-lending to </w:t>
            </w:r>
            <w:r w:rsidR="00DD2B0B" w:rsidRPr="002E6CA7">
              <w:rPr>
                <w:sz w:val="24"/>
                <w:szCs w:val="24"/>
                <w:lang w:val="en-GB"/>
              </w:rPr>
              <w:t>the targeted group</w:t>
            </w:r>
            <w:r w:rsidR="00BB3F1D" w:rsidRPr="002E6CA7">
              <w:rPr>
                <w:sz w:val="24"/>
                <w:szCs w:val="24"/>
                <w:lang w:val="en-GB"/>
              </w:rPr>
              <w:t>.</w:t>
            </w:r>
          </w:p>
          <w:p w:rsidR="008B15E5" w:rsidRPr="002E6CA7" w:rsidRDefault="008B15E5" w:rsidP="008B15E5">
            <w:pPr>
              <w:ind w:left="286"/>
              <w:rPr>
                <w:rFonts w:eastAsia="Calibri"/>
                <w:sz w:val="24"/>
                <w:szCs w:val="24"/>
              </w:rPr>
            </w:pPr>
          </w:p>
        </w:tc>
      </w:tr>
      <w:tr w:rsidR="00DD2B0B" w:rsidRPr="002E6CA7" w:rsidTr="002B7476">
        <w:trPr>
          <w:trHeight w:val="207"/>
        </w:trPr>
        <w:tc>
          <w:tcPr>
            <w:tcW w:w="1102" w:type="pct"/>
          </w:tcPr>
          <w:p w:rsidR="00DD2B0B" w:rsidRPr="00C64883" w:rsidRDefault="00DD2B0B" w:rsidP="002B7476">
            <w:pPr>
              <w:jc w:val="left"/>
              <w:rPr>
                <w:b/>
                <w:sz w:val="24"/>
                <w:szCs w:val="24"/>
              </w:rPr>
            </w:pPr>
            <w:r w:rsidRPr="00C64883">
              <w:rPr>
                <w:b/>
                <w:sz w:val="24"/>
                <w:szCs w:val="24"/>
                <w:lang w:val="en-GB"/>
              </w:rPr>
              <w:t>Agreement</w:t>
            </w:r>
          </w:p>
        </w:tc>
        <w:tc>
          <w:tcPr>
            <w:tcW w:w="3898" w:type="pct"/>
          </w:tcPr>
          <w:p w:rsidR="00DD2B0B" w:rsidRPr="008B15E5" w:rsidRDefault="00DD2B0B" w:rsidP="00021FE6">
            <w:pPr>
              <w:numPr>
                <w:ilvl w:val="0"/>
                <w:numId w:val="16"/>
              </w:numPr>
              <w:ind w:left="286" w:hanging="270"/>
              <w:rPr>
                <w:rFonts w:eastAsia="Calibri"/>
                <w:sz w:val="24"/>
                <w:szCs w:val="24"/>
              </w:rPr>
            </w:pPr>
            <w:r w:rsidRPr="00021FE6">
              <w:rPr>
                <w:rFonts w:eastAsia="Calibri"/>
                <w:sz w:val="24"/>
                <w:szCs w:val="24"/>
              </w:rPr>
              <w:t>The</w:t>
            </w:r>
            <w:r w:rsidRPr="002E6CA7">
              <w:rPr>
                <w:sz w:val="24"/>
                <w:szCs w:val="24"/>
                <w:lang w:val="en-GB"/>
              </w:rPr>
              <w:t xml:space="preserve"> eligible institutions must agree that the Loan granted is for on-lending to the targeted group for housing microloans and is made subject to all representations and warranties made by the eligible institutions based on the data, documents and information provided to HMFF</w:t>
            </w:r>
            <w:r w:rsidR="002C3A42" w:rsidRPr="002E6CA7">
              <w:rPr>
                <w:sz w:val="24"/>
                <w:szCs w:val="24"/>
                <w:lang w:val="en-GB"/>
              </w:rPr>
              <w:t xml:space="preserve">. </w:t>
            </w:r>
            <w:r w:rsidRPr="002E6CA7">
              <w:rPr>
                <w:sz w:val="24"/>
                <w:szCs w:val="24"/>
                <w:lang w:val="en-GB"/>
              </w:rPr>
              <w:t xml:space="preserve"> </w:t>
            </w:r>
          </w:p>
          <w:p w:rsidR="008B15E5" w:rsidRPr="002E6CA7" w:rsidRDefault="008B15E5" w:rsidP="008B15E5">
            <w:pPr>
              <w:ind w:left="286"/>
              <w:rPr>
                <w:rFonts w:eastAsia="Calibri"/>
                <w:sz w:val="24"/>
                <w:szCs w:val="24"/>
              </w:rPr>
            </w:pPr>
          </w:p>
        </w:tc>
      </w:tr>
      <w:tr w:rsidR="00DD2B0B" w:rsidRPr="002E6CA7" w:rsidTr="002B7476">
        <w:trPr>
          <w:trHeight w:val="207"/>
        </w:trPr>
        <w:tc>
          <w:tcPr>
            <w:tcW w:w="1102" w:type="pct"/>
          </w:tcPr>
          <w:p w:rsidR="00DD2B0B" w:rsidRPr="00C64883" w:rsidRDefault="00DD2B0B" w:rsidP="002B7476">
            <w:pPr>
              <w:jc w:val="left"/>
              <w:rPr>
                <w:b/>
                <w:sz w:val="24"/>
                <w:szCs w:val="24"/>
                <w:lang w:val="en-GB"/>
              </w:rPr>
            </w:pPr>
            <w:r w:rsidRPr="00C64883">
              <w:rPr>
                <w:b/>
                <w:sz w:val="24"/>
                <w:szCs w:val="24"/>
                <w:lang w:val="en-GB"/>
              </w:rPr>
              <w:t>Application for a loan</w:t>
            </w:r>
          </w:p>
        </w:tc>
        <w:tc>
          <w:tcPr>
            <w:tcW w:w="3898" w:type="pct"/>
          </w:tcPr>
          <w:p w:rsidR="00DD2B0B" w:rsidRDefault="002C3A42" w:rsidP="00021FE6">
            <w:pPr>
              <w:numPr>
                <w:ilvl w:val="0"/>
                <w:numId w:val="16"/>
              </w:numPr>
              <w:ind w:left="286" w:hanging="270"/>
              <w:rPr>
                <w:sz w:val="24"/>
                <w:szCs w:val="24"/>
                <w:lang w:val="en-GB"/>
              </w:rPr>
            </w:pPr>
            <w:r w:rsidRPr="00021FE6">
              <w:rPr>
                <w:rFonts w:eastAsia="Calibri"/>
                <w:sz w:val="24"/>
                <w:szCs w:val="24"/>
              </w:rPr>
              <w:t>Eligible</w:t>
            </w:r>
            <w:r w:rsidR="00DD2B0B" w:rsidRPr="002E6CA7">
              <w:rPr>
                <w:sz w:val="24"/>
                <w:szCs w:val="24"/>
                <w:lang w:val="en-GB"/>
              </w:rPr>
              <w:t xml:space="preserve"> institution that intends to apply for a loan from the HMFF </w:t>
            </w:r>
            <w:r w:rsidR="00DD2B0B" w:rsidRPr="002E6CA7">
              <w:rPr>
                <w:sz w:val="24"/>
                <w:szCs w:val="24"/>
              </w:rPr>
              <w:t xml:space="preserve">shall do so </w:t>
            </w:r>
            <w:r w:rsidR="00DD2B0B" w:rsidRPr="002E6CA7">
              <w:rPr>
                <w:sz w:val="24"/>
                <w:szCs w:val="24"/>
                <w:lang w:val="en-GB"/>
              </w:rPr>
              <w:t>by a letter in the form prescribed in the Appendix 1.</w:t>
            </w:r>
          </w:p>
          <w:p w:rsidR="008B15E5" w:rsidRPr="002E6CA7" w:rsidRDefault="008B15E5" w:rsidP="008B15E5">
            <w:pPr>
              <w:ind w:left="286"/>
              <w:rPr>
                <w:sz w:val="24"/>
                <w:szCs w:val="24"/>
                <w:lang w:val="en-GB"/>
              </w:rPr>
            </w:pPr>
          </w:p>
        </w:tc>
      </w:tr>
      <w:tr w:rsidR="00DD2B0B" w:rsidRPr="002E6CA7" w:rsidTr="002B7476">
        <w:trPr>
          <w:trHeight w:val="207"/>
        </w:trPr>
        <w:tc>
          <w:tcPr>
            <w:tcW w:w="1102" w:type="pct"/>
          </w:tcPr>
          <w:p w:rsidR="00DD2B0B" w:rsidRPr="00C64883" w:rsidRDefault="00DD2B0B" w:rsidP="002B7476">
            <w:pPr>
              <w:keepNext/>
              <w:spacing w:before="240" w:after="60"/>
              <w:jc w:val="left"/>
              <w:outlineLvl w:val="2"/>
              <w:rPr>
                <w:b/>
                <w:sz w:val="24"/>
                <w:szCs w:val="24"/>
                <w:lang w:val="en-GB"/>
              </w:rPr>
            </w:pPr>
          </w:p>
        </w:tc>
        <w:tc>
          <w:tcPr>
            <w:tcW w:w="3898" w:type="pct"/>
          </w:tcPr>
          <w:p w:rsidR="00DD2B0B" w:rsidRDefault="00DD2B0B" w:rsidP="00021FE6">
            <w:pPr>
              <w:numPr>
                <w:ilvl w:val="0"/>
                <w:numId w:val="16"/>
              </w:numPr>
              <w:ind w:left="286" w:hanging="270"/>
              <w:rPr>
                <w:sz w:val="24"/>
                <w:szCs w:val="24"/>
                <w:lang w:val="en-GB"/>
              </w:rPr>
            </w:pPr>
            <w:r w:rsidRPr="002E6CA7">
              <w:rPr>
                <w:sz w:val="24"/>
                <w:szCs w:val="24"/>
                <w:lang w:val="en-GB"/>
              </w:rPr>
              <w:t xml:space="preserve">The </w:t>
            </w:r>
            <w:r w:rsidRPr="00021FE6">
              <w:rPr>
                <w:rFonts w:eastAsia="Calibri"/>
                <w:sz w:val="24"/>
                <w:szCs w:val="24"/>
              </w:rPr>
              <w:t>application</w:t>
            </w:r>
            <w:r w:rsidRPr="002E6CA7">
              <w:rPr>
                <w:sz w:val="24"/>
                <w:szCs w:val="24"/>
                <w:lang w:val="en-GB"/>
              </w:rPr>
              <w:t xml:space="preserve"> letter shall be accompanied copies of registration certificates, valid business licence and of each of the documents listed in the Appendix 2.</w:t>
            </w:r>
          </w:p>
          <w:p w:rsidR="008B15E5" w:rsidRPr="002E6CA7" w:rsidRDefault="008B15E5" w:rsidP="008B15E5">
            <w:pPr>
              <w:ind w:left="286"/>
              <w:rPr>
                <w:sz w:val="24"/>
                <w:szCs w:val="24"/>
                <w:lang w:val="en-GB"/>
              </w:rPr>
            </w:pPr>
          </w:p>
        </w:tc>
      </w:tr>
      <w:tr w:rsidR="00DD2B0B" w:rsidRPr="002E6CA7" w:rsidTr="002B7476">
        <w:trPr>
          <w:trHeight w:val="207"/>
        </w:trPr>
        <w:tc>
          <w:tcPr>
            <w:tcW w:w="1102" w:type="pct"/>
          </w:tcPr>
          <w:p w:rsidR="00DD2B0B" w:rsidRPr="00C64883" w:rsidRDefault="00DD2B0B" w:rsidP="002B7476">
            <w:pPr>
              <w:jc w:val="left"/>
              <w:rPr>
                <w:b/>
                <w:sz w:val="24"/>
                <w:szCs w:val="24"/>
                <w:lang w:val="en-GB"/>
              </w:rPr>
            </w:pPr>
            <w:r w:rsidRPr="00C64883">
              <w:rPr>
                <w:b/>
                <w:sz w:val="24"/>
                <w:szCs w:val="24"/>
                <w:lang w:val="en-GB"/>
              </w:rPr>
              <w:t xml:space="preserve">Authentication of the application document  </w:t>
            </w:r>
          </w:p>
        </w:tc>
        <w:tc>
          <w:tcPr>
            <w:tcW w:w="3898" w:type="pct"/>
          </w:tcPr>
          <w:p w:rsidR="00DD2B0B" w:rsidRDefault="00DD2B0B" w:rsidP="00021FE6">
            <w:pPr>
              <w:numPr>
                <w:ilvl w:val="0"/>
                <w:numId w:val="16"/>
              </w:numPr>
              <w:ind w:left="286" w:hanging="270"/>
              <w:rPr>
                <w:sz w:val="24"/>
                <w:szCs w:val="24"/>
                <w:lang w:val="en-GB"/>
              </w:rPr>
            </w:pPr>
            <w:r w:rsidRPr="002E6CA7">
              <w:rPr>
                <w:sz w:val="24"/>
                <w:szCs w:val="24"/>
                <w:lang w:val="en-GB"/>
              </w:rPr>
              <w:t>A loan application shall be signed by the directors of the applicant or a person authorized by the applicant and submitted together with authenticated legal documents or board resolution authorizing the signatory.</w:t>
            </w:r>
          </w:p>
          <w:p w:rsidR="008B15E5" w:rsidRPr="002E6CA7" w:rsidRDefault="008B15E5" w:rsidP="008B15E5">
            <w:pPr>
              <w:ind w:left="286"/>
              <w:rPr>
                <w:sz w:val="24"/>
                <w:szCs w:val="24"/>
                <w:lang w:val="en-GB"/>
              </w:rPr>
            </w:pPr>
          </w:p>
        </w:tc>
      </w:tr>
      <w:tr w:rsidR="002E330F" w:rsidRPr="002E6CA7" w:rsidTr="002B7476">
        <w:trPr>
          <w:trHeight w:val="207"/>
        </w:trPr>
        <w:tc>
          <w:tcPr>
            <w:tcW w:w="1102" w:type="pct"/>
          </w:tcPr>
          <w:p w:rsidR="002E330F" w:rsidRPr="00C64883" w:rsidRDefault="002E330F" w:rsidP="002B7476">
            <w:pPr>
              <w:widowControl w:val="0"/>
              <w:spacing w:before="240" w:after="60"/>
              <w:jc w:val="left"/>
              <w:outlineLvl w:val="2"/>
              <w:rPr>
                <w:b/>
                <w:sz w:val="24"/>
                <w:szCs w:val="24"/>
                <w:lang w:val="en-GB"/>
              </w:rPr>
            </w:pPr>
            <w:r w:rsidRPr="00C64883">
              <w:rPr>
                <w:b/>
                <w:sz w:val="24"/>
                <w:szCs w:val="24"/>
                <w:lang w:val="en-GB"/>
              </w:rPr>
              <w:t>Proof of use of the loan</w:t>
            </w:r>
          </w:p>
        </w:tc>
        <w:tc>
          <w:tcPr>
            <w:tcW w:w="3898" w:type="pct"/>
          </w:tcPr>
          <w:p w:rsidR="002E330F" w:rsidRDefault="002E330F" w:rsidP="002E330F">
            <w:pPr>
              <w:numPr>
                <w:ilvl w:val="0"/>
                <w:numId w:val="16"/>
              </w:numPr>
              <w:ind w:left="286" w:hanging="270"/>
              <w:rPr>
                <w:sz w:val="24"/>
                <w:szCs w:val="24"/>
              </w:rPr>
            </w:pPr>
            <w:r w:rsidRPr="002E330F">
              <w:rPr>
                <w:sz w:val="24"/>
                <w:szCs w:val="24"/>
              </w:rPr>
              <w:t>The</w:t>
            </w:r>
            <w:r w:rsidRPr="002E330F">
              <w:rPr>
                <w:sz w:val="24"/>
                <w:szCs w:val="24"/>
                <w:lang w:val="en-GB"/>
              </w:rPr>
              <w:t xml:space="preserve"> applicant of a loan shall provide a written proof of existence or plans to introduce a housing microfinance product in the institution’s business activities and that the loan shall solely be used for housing microfinance products.</w:t>
            </w:r>
            <w:r w:rsidRPr="002E330F">
              <w:rPr>
                <w:sz w:val="24"/>
                <w:szCs w:val="24"/>
              </w:rPr>
              <w:t xml:space="preserve"> </w:t>
            </w:r>
          </w:p>
          <w:p w:rsidR="002E330F" w:rsidRPr="002E330F" w:rsidRDefault="002E330F" w:rsidP="002E330F">
            <w:pPr>
              <w:ind w:left="286"/>
              <w:rPr>
                <w:sz w:val="24"/>
                <w:szCs w:val="24"/>
              </w:rPr>
            </w:pPr>
          </w:p>
        </w:tc>
      </w:tr>
      <w:tr w:rsidR="00DD2B0B" w:rsidRPr="002E6CA7" w:rsidTr="002B7476">
        <w:trPr>
          <w:trHeight w:val="207"/>
        </w:trPr>
        <w:tc>
          <w:tcPr>
            <w:tcW w:w="1102" w:type="pct"/>
          </w:tcPr>
          <w:p w:rsidR="00DD2B0B" w:rsidRPr="00C64883" w:rsidRDefault="00DD2B0B" w:rsidP="002B7476">
            <w:pPr>
              <w:widowControl w:val="0"/>
              <w:jc w:val="left"/>
              <w:rPr>
                <w:b/>
                <w:sz w:val="24"/>
                <w:szCs w:val="24"/>
                <w:lang w:val="en-GB"/>
              </w:rPr>
            </w:pPr>
          </w:p>
        </w:tc>
        <w:tc>
          <w:tcPr>
            <w:tcW w:w="3898" w:type="pct"/>
          </w:tcPr>
          <w:p w:rsidR="00DD2B0B" w:rsidRPr="002E6CA7" w:rsidRDefault="002E330F" w:rsidP="00876CA0">
            <w:pPr>
              <w:pStyle w:val="ListParagraph"/>
              <w:numPr>
                <w:ilvl w:val="0"/>
                <w:numId w:val="16"/>
              </w:numPr>
              <w:ind w:left="376" w:hanging="376"/>
              <w:rPr>
                <w:lang w:val="en-GB"/>
              </w:rPr>
            </w:pPr>
            <w:r w:rsidRPr="002E330F">
              <w:t>The</w:t>
            </w:r>
            <w:r w:rsidRPr="002E330F">
              <w:rPr>
                <w:lang w:val="en-GB"/>
              </w:rPr>
              <w:t xml:space="preserve"> applicant of a loan shall provide </w:t>
            </w:r>
            <w:r>
              <w:rPr>
                <w:lang w:val="en-GB"/>
              </w:rPr>
              <w:t>e</w:t>
            </w:r>
            <w:r w:rsidR="00DD2B0B" w:rsidRPr="002E6CA7">
              <w:rPr>
                <w:lang w:val="en-GB"/>
              </w:rPr>
              <w:t xml:space="preserve">vidence of </w:t>
            </w:r>
            <w:r w:rsidR="00876CA0" w:rsidRPr="00876CA0">
              <w:t>microfinance or housing microfinance</w:t>
            </w:r>
            <w:r w:rsidR="00876CA0">
              <w:t xml:space="preserve"> </w:t>
            </w:r>
            <w:r w:rsidR="00DD2B0B" w:rsidRPr="002E6CA7">
              <w:rPr>
                <w:lang w:val="en-GB"/>
              </w:rPr>
              <w:t xml:space="preserve">lending business </w:t>
            </w:r>
            <w:r w:rsidR="00DD2B0B" w:rsidRPr="002E330F">
              <w:t>strategy</w:t>
            </w:r>
            <w:r w:rsidR="00DD2B0B" w:rsidRPr="002E6CA7">
              <w:rPr>
                <w:lang w:val="en-GB"/>
              </w:rPr>
              <w:t xml:space="preserve"> including projected </w:t>
            </w:r>
            <w:r w:rsidR="00876CA0">
              <w:rPr>
                <w:lang w:val="en-GB"/>
              </w:rPr>
              <w:t>house micro</w:t>
            </w:r>
            <w:r w:rsidR="00DD2B0B" w:rsidRPr="002E6CA7">
              <w:rPr>
                <w:lang w:val="en-GB"/>
              </w:rPr>
              <w:t xml:space="preserve"> </w:t>
            </w:r>
            <w:r w:rsidR="00D610B5" w:rsidRPr="002E6CA7">
              <w:rPr>
                <w:lang w:val="en-GB"/>
              </w:rPr>
              <w:t xml:space="preserve">loans </w:t>
            </w:r>
            <w:r w:rsidR="00DD2B0B" w:rsidRPr="002E6CA7">
              <w:rPr>
                <w:lang w:val="en-GB"/>
              </w:rPr>
              <w:t>book, product policy, and operational policy.</w:t>
            </w:r>
          </w:p>
        </w:tc>
      </w:tr>
      <w:tr w:rsidR="00C64883" w:rsidRPr="002E6CA7" w:rsidTr="002B7476">
        <w:trPr>
          <w:trHeight w:val="207"/>
        </w:trPr>
        <w:tc>
          <w:tcPr>
            <w:tcW w:w="1102" w:type="pct"/>
          </w:tcPr>
          <w:p w:rsidR="00C64883" w:rsidRPr="00C64883" w:rsidRDefault="00C64883" w:rsidP="002B7476">
            <w:pPr>
              <w:widowControl w:val="0"/>
              <w:jc w:val="left"/>
              <w:rPr>
                <w:b/>
                <w:sz w:val="24"/>
                <w:szCs w:val="24"/>
                <w:lang w:val="en-GB"/>
              </w:rPr>
            </w:pPr>
            <w:r w:rsidRPr="00C64883">
              <w:rPr>
                <w:b/>
                <w:sz w:val="24"/>
                <w:szCs w:val="24"/>
                <w:lang w:val="en-GB"/>
              </w:rPr>
              <w:t>Other considerations</w:t>
            </w:r>
          </w:p>
        </w:tc>
        <w:tc>
          <w:tcPr>
            <w:tcW w:w="3898" w:type="pct"/>
          </w:tcPr>
          <w:p w:rsidR="00C64883" w:rsidRPr="00C64883" w:rsidRDefault="00C64883" w:rsidP="00AD12D6">
            <w:pPr>
              <w:pStyle w:val="ListParagraph"/>
              <w:numPr>
                <w:ilvl w:val="0"/>
                <w:numId w:val="16"/>
              </w:numPr>
              <w:ind w:left="376" w:hanging="376"/>
            </w:pPr>
            <w:r w:rsidRPr="00C64883">
              <w:t xml:space="preserve">Every applicant shall, </w:t>
            </w:r>
            <w:r>
              <w:t>also</w:t>
            </w:r>
            <w:r w:rsidRPr="00C64883">
              <w:t xml:space="preserve"> provide the following:-</w:t>
            </w:r>
          </w:p>
          <w:p w:rsidR="00C64883" w:rsidRPr="00C64883" w:rsidRDefault="00C64883" w:rsidP="00C64883">
            <w:pPr>
              <w:pStyle w:val="ListParagraph"/>
              <w:ind w:left="376" w:hanging="376"/>
            </w:pPr>
          </w:p>
        </w:tc>
      </w:tr>
      <w:tr w:rsidR="00C64883" w:rsidRPr="002E6CA7" w:rsidTr="002B7476">
        <w:trPr>
          <w:trHeight w:val="207"/>
        </w:trPr>
        <w:tc>
          <w:tcPr>
            <w:tcW w:w="1102" w:type="pct"/>
          </w:tcPr>
          <w:p w:rsidR="00C64883" w:rsidRPr="00C64883" w:rsidRDefault="00C64883" w:rsidP="002B7476">
            <w:pPr>
              <w:widowControl w:val="0"/>
              <w:jc w:val="left"/>
              <w:rPr>
                <w:b/>
                <w:sz w:val="24"/>
                <w:szCs w:val="24"/>
                <w:lang w:val="en-GB"/>
              </w:rPr>
            </w:pPr>
          </w:p>
        </w:tc>
        <w:tc>
          <w:tcPr>
            <w:tcW w:w="3898" w:type="pct"/>
          </w:tcPr>
          <w:p w:rsidR="00C64883" w:rsidRPr="00C64883" w:rsidRDefault="00C64883" w:rsidP="00AD12D6">
            <w:pPr>
              <w:numPr>
                <w:ilvl w:val="0"/>
                <w:numId w:val="18"/>
              </w:numPr>
              <w:ind w:left="1100" w:hanging="274"/>
              <w:rPr>
                <w:sz w:val="24"/>
                <w:szCs w:val="24"/>
              </w:rPr>
            </w:pPr>
            <w:r w:rsidRPr="00C64883">
              <w:rPr>
                <w:sz w:val="24"/>
                <w:szCs w:val="24"/>
              </w:rPr>
              <w:t xml:space="preserve">   policies and procedural manuals establishing how the housing microfinance product shall be operated.</w:t>
            </w:r>
          </w:p>
        </w:tc>
      </w:tr>
      <w:tr w:rsidR="00C64883" w:rsidRPr="002E6CA7" w:rsidTr="002B7476">
        <w:trPr>
          <w:trHeight w:val="207"/>
        </w:trPr>
        <w:tc>
          <w:tcPr>
            <w:tcW w:w="1102" w:type="pct"/>
          </w:tcPr>
          <w:p w:rsidR="00C64883" w:rsidRPr="00C64883" w:rsidRDefault="00C64883" w:rsidP="002B7476">
            <w:pPr>
              <w:widowControl w:val="0"/>
              <w:jc w:val="left"/>
              <w:rPr>
                <w:b/>
                <w:sz w:val="24"/>
                <w:szCs w:val="24"/>
                <w:lang w:val="en-GB"/>
              </w:rPr>
            </w:pPr>
          </w:p>
        </w:tc>
        <w:tc>
          <w:tcPr>
            <w:tcW w:w="3898" w:type="pct"/>
          </w:tcPr>
          <w:p w:rsidR="00C64883" w:rsidRPr="00C64883" w:rsidRDefault="00C64883" w:rsidP="00C64883">
            <w:pPr>
              <w:numPr>
                <w:ilvl w:val="0"/>
                <w:numId w:val="18"/>
              </w:numPr>
              <w:ind w:left="1100" w:hanging="274"/>
              <w:rPr>
                <w:sz w:val="24"/>
                <w:szCs w:val="24"/>
              </w:rPr>
            </w:pPr>
            <w:r w:rsidRPr="00C64883">
              <w:rPr>
                <w:sz w:val="24"/>
                <w:szCs w:val="24"/>
              </w:rPr>
              <w:t xml:space="preserve">   description of accounting system and information and communication technology to be used in the operations of the institution and proposed housing microfinance product;</w:t>
            </w:r>
          </w:p>
        </w:tc>
      </w:tr>
      <w:tr w:rsidR="00C64883" w:rsidRPr="002E6CA7" w:rsidTr="002B7476">
        <w:trPr>
          <w:trHeight w:val="207"/>
        </w:trPr>
        <w:tc>
          <w:tcPr>
            <w:tcW w:w="1102" w:type="pct"/>
          </w:tcPr>
          <w:p w:rsidR="00C64883" w:rsidRPr="00C64883" w:rsidRDefault="00C64883" w:rsidP="002B7476">
            <w:pPr>
              <w:widowControl w:val="0"/>
              <w:jc w:val="left"/>
              <w:rPr>
                <w:b/>
                <w:sz w:val="24"/>
                <w:szCs w:val="24"/>
                <w:lang w:val="en-GB"/>
              </w:rPr>
            </w:pPr>
          </w:p>
        </w:tc>
        <w:tc>
          <w:tcPr>
            <w:tcW w:w="3898" w:type="pct"/>
          </w:tcPr>
          <w:p w:rsidR="00C64883" w:rsidRPr="00C64883" w:rsidRDefault="00C64883" w:rsidP="00C64883">
            <w:pPr>
              <w:numPr>
                <w:ilvl w:val="0"/>
                <w:numId w:val="18"/>
              </w:numPr>
              <w:ind w:left="1100" w:hanging="274"/>
              <w:rPr>
                <w:sz w:val="24"/>
                <w:szCs w:val="24"/>
              </w:rPr>
            </w:pPr>
            <w:r w:rsidRPr="00C64883">
              <w:rPr>
                <w:sz w:val="24"/>
                <w:szCs w:val="24"/>
              </w:rPr>
              <w:t>description of internal control procedures that the institution shall implement;</w:t>
            </w:r>
          </w:p>
        </w:tc>
      </w:tr>
      <w:tr w:rsidR="00C64883" w:rsidRPr="002E6CA7" w:rsidTr="002B7476">
        <w:trPr>
          <w:trHeight w:val="207"/>
        </w:trPr>
        <w:tc>
          <w:tcPr>
            <w:tcW w:w="1102" w:type="pct"/>
          </w:tcPr>
          <w:p w:rsidR="00C64883" w:rsidRPr="00C64883" w:rsidRDefault="00C64883" w:rsidP="002B7476">
            <w:pPr>
              <w:widowControl w:val="0"/>
              <w:jc w:val="left"/>
              <w:rPr>
                <w:b/>
                <w:sz w:val="24"/>
                <w:szCs w:val="24"/>
                <w:lang w:val="en-GB"/>
              </w:rPr>
            </w:pPr>
          </w:p>
        </w:tc>
        <w:tc>
          <w:tcPr>
            <w:tcW w:w="3898" w:type="pct"/>
          </w:tcPr>
          <w:p w:rsidR="00C64883" w:rsidRPr="00C64883" w:rsidRDefault="00C64883" w:rsidP="00C64883">
            <w:pPr>
              <w:numPr>
                <w:ilvl w:val="0"/>
                <w:numId w:val="18"/>
              </w:numPr>
              <w:ind w:left="1100" w:hanging="274"/>
              <w:rPr>
                <w:sz w:val="24"/>
                <w:szCs w:val="24"/>
              </w:rPr>
            </w:pPr>
            <w:r w:rsidRPr="00C64883">
              <w:rPr>
                <w:sz w:val="24"/>
                <w:szCs w:val="24"/>
              </w:rPr>
              <w:t xml:space="preserve">  narrative description of shareholders, board and senior management and strategy for the successful operation of the housing microfinance product;</w:t>
            </w:r>
          </w:p>
        </w:tc>
      </w:tr>
      <w:tr w:rsidR="00C64883" w:rsidRPr="002E6CA7" w:rsidTr="002B7476">
        <w:trPr>
          <w:trHeight w:val="207"/>
        </w:trPr>
        <w:tc>
          <w:tcPr>
            <w:tcW w:w="1102" w:type="pct"/>
          </w:tcPr>
          <w:p w:rsidR="00C64883" w:rsidRPr="00C64883" w:rsidRDefault="00C64883" w:rsidP="002B7476">
            <w:pPr>
              <w:widowControl w:val="0"/>
              <w:jc w:val="left"/>
              <w:rPr>
                <w:b/>
                <w:sz w:val="24"/>
                <w:szCs w:val="24"/>
                <w:lang w:val="en-GB"/>
              </w:rPr>
            </w:pPr>
          </w:p>
        </w:tc>
        <w:tc>
          <w:tcPr>
            <w:tcW w:w="3898" w:type="pct"/>
          </w:tcPr>
          <w:p w:rsidR="00C64883" w:rsidRPr="002E6CA7" w:rsidRDefault="00C64883" w:rsidP="00AD12D6">
            <w:pPr>
              <w:pStyle w:val="ListParagraph"/>
              <w:numPr>
                <w:ilvl w:val="0"/>
                <w:numId w:val="16"/>
              </w:numPr>
              <w:ind w:left="376" w:hanging="376"/>
            </w:pPr>
            <w:r w:rsidRPr="002E6CA7">
              <w:t xml:space="preserve">The </w:t>
            </w:r>
            <w:r>
              <w:t>Bank of Tanzania</w:t>
            </w:r>
            <w:r w:rsidRPr="002E6CA7">
              <w:t xml:space="preserve"> shall, if deems necessary, visit the applicant to confirm existence of the institution, adequacy of management information system, administrative and operational processes and internal control system.</w:t>
            </w:r>
          </w:p>
          <w:p w:rsidR="00C64883" w:rsidRPr="002E6CA7" w:rsidRDefault="00C64883" w:rsidP="00C64883">
            <w:pPr>
              <w:pStyle w:val="ListParagraph"/>
              <w:ind w:left="376" w:hanging="376"/>
            </w:pPr>
          </w:p>
        </w:tc>
      </w:tr>
      <w:tr w:rsidR="00DD2B0B" w:rsidRPr="002E6CA7" w:rsidTr="002B7476">
        <w:trPr>
          <w:trHeight w:val="207"/>
        </w:trPr>
        <w:tc>
          <w:tcPr>
            <w:tcW w:w="1102" w:type="pct"/>
          </w:tcPr>
          <w:p w:rsidR="00DD2B0B" w:rsidRPr="00C64883" w:rsidRDefault="00DD2B0B" w:rsidP="002B7476">
            <w:pPr>
              <w:widowControl w:val="0"/>
              <w:jc w:val="left"/>
              <w:rPr>
                <w:b/>
                <w:sz w:val="24"/>
                <w:szCs w:val="24"/>
                <w:lang w:val="en-GB"/>
              </w:rPr>
            </w:pPr>
            <w:r w:rsidRPr="00C64883">
              <w:rPr>
                <w:b/>
                <w:sz w:val="24"/>
                <w:szCs w:val="24"/>
                <w:lang w:val="en-GB"/>
              </w:rPr>
              <w:t>Financial capacity</w:t>
            </w:r>
          </w:p>
        </w:tc>
        <w:tc>
          <w:tcPr>
            <w:tcW w:w="3898" w:type="pct"/>
          </w:tcPr>
          <w:p w:rsidR="00DD2B0B" w:rsidRPr="002E6CA7" w:rsidRDefault="00DD2B0B" w:rsidP="002E330F">
            <w:pPr>
              <w:pStyle w:val="ListParagraph"/>
              <w:numPr>
                <w:ilvl w:val="0"/>
                <w:numId w:val="16"/>
              </w:numPr>
              <w:ind w:left="376" w:hanging="376"/>
              <w:rPr>
                <w:bCs/>
                <w:lang w:val="en-GB"/>
              </w:rPr>
            </w:pPr>
            <w:r w:rsidRPr="002E330F">
              <w:t>The</w:t>
            </w:r>
            <w:r w:rsidRPr="002E6CA7">
              <w:rPr>
                <w:lang w:val="en-GB"/>
              </w:rPr>
              <w:t xml:space="preserve"> </w:t>
            </w:r>
            <w:r w:rsidR="00021FE6">
              <w:rPr>
                <w:lang w:val="en-GB"/>
              </w:rPr>
              <w:t>Bank of Tanzania</w:t>
            </w:r>
            <w:r w:rsidRPr="002E6CA7">
              <w:rPr>
                <w:lang w:val="en-GB"/>
              </w:rPr>
              <w:t xml:space="preserve"> shall evaluate the financial capacity of the applicants.</w:t>
            </w:r>
          </w:p>
        </w:tc>
      </w:tr>
      <w:tr w:rsidR="00DD2B0B" w:rsidRPr="002E6CA7" w:rsidTr="002B7476">
        <w:trPr>
          <w:trHeight w:val="207"/>
        </w:trPr>
        <w:tc>
          <w:tcPr>
            <w:tcW w:w="1102" w:type="pct"/>
          </w:tcPr>
          <w:p w:rsidR="00DD2B0B" w:rsidRPr="00C64883" w:rsidRDefault="00DD2B0B" w:rsidP="002B7476">
            <w:pPr>
              <w:widowControl w:val="0"/>
              <w:spacing w:before="240" w:after="60"/>
              <w:jc w:val="left"/>
              <w:outlineLvl w:val="2"/>
              <w:rPr>
                <w:b/>
                <w:sz w:val="24"/>
                <w:szCs w:val="24"/>
                <w:lang w:val="en-GB"/>
              </w:rPr>
            </w:pPr>
          </w:p>
        </w:tc>
        <w:tc>
          <w:tcPr>
            <w:tcW w:w="3898" w:type="pct"/>
          </w:tcPr>
          <w:p w:rsidR="00DD2B0B" w:rsidRPr="002E6CA7" w:rsidRDefault="00DD2B0B" w:rsidP="002E330F">
            <w:pPr>
              <w:pStyle w:val="ListParagraph"/>
              <w:numPr>
                <w:ilvl w:val="0"/>
                <w:numId w:val="16"/>
              </w:numPr>
              <w:ind w:left="376" w:hanging="376"/>
              <w:rPr>
                <w:lang w:val="en-GB"/>
              </w:rPr>
            </w:pPr>
            <w:r w:rsidRPr="002E330F">
              <w:t>The</w:t>
            </w:r>
            <w:r w:rsidRPr="002E6CA7">
              <w:rPr>
                <w:lang w:val="en-GB"/>
              </w:rPr>
              <w:t xml:space="preserve"> soundness of an </w:t>
            </w:r>
            <w:r w:rsidR="002E330F" w:rsidRPr="002E6CA7">
              <w:rPr>
                <w:lang w:val="en-GB"/>
              </w:rPr>
              <w:t>applicant’s financial</w:t>
            </w:r>
            <w:r w:rsidRPr="002E6CA7">
              <w:rPr>
                <w:lang w:val="en-GB"/>
              </w:rPr>
              <w:t xml:space="preserve"> position, their business affiliates and the financial condition of those businesses shall be measured on</w:t>
            </w:r>
            <w:r w:rsidR="002E330F">
              <w:rPr>
                <w:lang w:val="en-GB"/>
              </w:rPr>
              <w:t xml:space="preserve"> </w:t>
            </w:r>
            <w:r w:rsidR="002E330F" w:rsidRPr="002E6CA7">
              <w:rPr>
                <w:lang w:val="en-GB"/>
              </w:rPr>
              <w:t>levels of capital as shown on balance sheets</w:t>
            </w:r>
            <w:r w:rsidR="002E330F">
              <w:rPr>
                <w:lang w:val="en-GB"/>
              </w:rPr>
              <w:t xml:space="preserve"> and </w:t>
            </w:r>
            <w:r w:rsidR="002E330F" w:rsidRPr="002E6CA7">
              <w:rPr>
                <w:lang w:val="en-GB"/>
              </w:rPr>
              <w:t xml:space="preserve">the potential financial support that may </w:t>
            </w:r>
            <w:r w:rsidR="002E330F" w:rsidRPr="002E6CA7">
              <w:rPr>
                <w:lang w:val="en-GB"/>
              </w:rPr>
              <w:lastRenderedPageBreak/>
              <w:t>be made available should the borrowing institution fail to repay the loan for whatever reason, including losses in its operations.</w:t>
            </w:r>
          </w:p>
          <w:p w:rsidR="00DD2B0B" w:rsidRPr="002E6CA7" w:rsidRDefault="00DD2B0B" w:rsidP="00780E4D">
            <w:pPr>
              <w:widowControl w:val="0"/>
              <w:rPr>
                <w:sz w:val="24"/>
                <w:szCs w:val="24"/>
                <w:lang w:val="en-GB"/>
              </w:rPr>
            </w:pPr>
          </w:p>
        </w:tc>
      </w:tr>
      <w:tr w:rsidR="00DD2B0B" w:rsidRPr="002E6CA7" w:rsidTr="002B7476">
        <w:trPr>
          <w:trHeight w:val="207"/>
        </w:trPr>
        <w:tc>
          <w:tcPr>
            <w:tcW w:w="1102" w:type="pct"/>
          </w:tcPr>
          <w:p w:rsidR="00DD2B0B" w:rsidRPr="00C64883" w:rsidRDefault="00DD2B0B" w:rsidP="002B7476">
            <w:pPr>
              <w:widowControl w:val="0"/>
              <w:spacing w:before="240" w:after="60"/>
              <w:jc w:val="left"/>
              <w:outlineLvl w:val="2"/>
              <w:rPr>
                <w:b/>
                <w:sz w:val="24"/>
                <w:szCs w:val="24"/>
                <w:lang w:val="en-GB"/>
              </w:rPr>
            </w:pPr>
          </w:p>
        </w:tc>
        <w:tc>
          <w:tcPr>
            <w:tcW w:w="3898" w:type="pct"/>
          </w:tcPr>
          <w:p w:rsidR="00DD2B0B" w:rsidRPr="002E6CA7" w:rsidRDefault="00DD2B0B" w:rsidP="002E330F">
            <w:pPr>
              <w:pStyle w:val="ListParagraph"/>
              <w:numPr>
                <w:ilvl w:val="0"/>
                <w:numId w:val="16"/>
              </w:numPr>
              <w:ind w:left="376" w:hanging="376"/>
              <w:rPr>
                <w:lang w:val="en-GB"/>
              </w:rPr>
            </w:pPr>
            <w:r w:rsidRPr="002E6CA7">
              <w:rPr>
                <w:lang w:val="en-GB"/>
              </w:rPr>
              <w:t xml:space="preserve">The </w:t>
            </w:r>
            <w:r w:rsidR="00021FE6">
              <w:rPr>
                <w:lang w:val="en-GB"/>
              </w:rPr>
              <w:t>Bank of Tanzania</w:t>
            </w:r>
            <w:r w:rsidRPr="002E6CA7">
              <w:rPr>
                <w:lang w:val="en-GB"/>
              </w:rPr>
              <w:t xml:space="preserve"> shall assess the ability of the applicant and their business affiliates to pay their current obligations from their income, reasonability of valuation they assign to their assets, and their net-worth in relation to other liabilities.</w:t>
            </w:r>
          </w:p>
          <w:p w:rsidR="00DD2B0B" w:rsidRPr="002E6CA7" w:rsidRDefault="00DD2B0B" w:rsidP="00780E4D">
            <w:pPr>
              <w:widowControl w:val="0"/>
              <w:rPr>
                <w:sz w:val="24"/>
                <w:szCs w:val="24"/>
                <w:lang w:val="en-GB"/>
              </w:rPr>
            </w:pPr>
          </w:p>
        </w:tc>
      </w:tr>
      <w:tr w:rsidR="00DD2B0B" w:rsidRPr="002E6CA7" w:rsidTr="002B7476">
        <w:trPr>
          <w:trHeight w:val="207"/>
        </w:trPr>
        <w:tc>
          <w:tcPr>
            <w:tcW w:w="1102" w:type="pct"/>
          </w:tcPr>
          <w:p w:rsidR="00DD2B0B" w:rsidRPr="00C64883" w:rsidRDefault="00DD2B0B" w:rsidP="002B7476">
            <w:pPr>
              <w:widowControl w:val="0"/>
              <w:jc w:val="left"/>
              <w:rPr>
                <w:b/>
                <w:sz w:val="24"/>
                <w:szCs w:val="24"/>
                <w:lang w:val="en-GB"/>
              </w:rPr>
            </w:pPr>
            <w:r w:rsidRPr="00C64883">
              <w:rPr>
                <w:b/>
                <w:sz w:val="24"/>
                <w:szCs w:val="24"/>
                <w:lang w:val="en-GB"/>
              </w:rPr>
              <w:t>Proof of availability  of capital</w:t>
            </w:r>
          </w:p>
        </w:tc>
        <w:tc>
          <w:tcPr>
            <w:tcW w:w="3898" w:type="pct"/>
          </w:tcPr>
          <w:p w:rsidR="00DD2B0B" w:rsidRPr="002E6CA7" w:rsidRDefault="00DD2B0B" w:rsidP="002E330F">
            <w:pPr>
              <w:pStyle w:val="ListParagraph"/>
              <w:numPr>
                <w:ilvl w:val="0"/>
                <w:numId w:val="16"/>
              </w:numPr>
              <w:ind w:left="376" w:hanging="376"/>
              <w:rPr>
                <w:lang w:val="en-GB"/>
              </w:rPr>
            </w:pPr>
            <w:r w:rsidRPr="002E6CA7">
              <w:rPr>
                <w:lang w:val="en-GB"/>
              </w:rPr>
              <w:t xml:space="preserve">Every applicant shall provide to the </w:t>
            </w:r>
            <w:r w:rsidR="00021FE6">
              <w:rPr>
                <w:lang w:val="en-GB"/>
              </w:rPr>
              <w:t>Bank of Tanzania</w:t>
            </w:r>
            <w:r w:rsidRPr="002E6CA7">
              <w:rPr>
                <w:lang w:val="en-GB"/>
              </w:rPr>
              <w:t xml:space="preserve"> assurance that it has sufficient capital for its operations.</w:t>
            </w:r>
          </w:p>
          <w:p w:rsidR="00DD2B0B" w:rsidRPr="002E6CA7" w:rsidRDefault="00DD2B0B" w:rsidP="00780E4D">
            <w:pPr>
              <w:widowControl w:val="0"/>
              <w:rPr>
                <w:sz w:val="24"/>
                <w:szCs w:val="24"/>
                <w:lang w:val="en-GB"/>
              </w:rPr>
            </w:pPr>
          </w:p>
        </w:tc>
      </w:tr>
      <w:tr w:rsidR="00DD2B0B" w:rsidRPr="002E6CA7" w:rsidTr="002B7476">
        <w:tblPrEx>
          <w:tblLook w:val="01E0" w:firstRow="1" w:lastRow="1" w:firstColumn="1" w:lastColumn="1" w:noHBand="0" w:noVBand="0"/>
        </w:tblPrEx>
        <w:tc>
          <w:tcPr>
            <w:tcW w:w="1102" w:type="pct"/>
          </w:tcPr>
          <w:p w:rsidR="00DD2B0B" w:rsidRPr="00C64883" w:rsidRDefault="00DD2B0B" w:rsidP="002B7476">
            <w:pPr>
              <w:jc w:val="left"/>
              <w:rPr>
                <w:b/>
                <w:sz w:val="24"/>
                <w:szCs w:val="24"/>
                <w:lang w:val="en-GB"/>
              </w:rPr>
            </w:pPr>
            <w:r w:rsidRPr="00C64883">
              <w:rPr>
                <w:b/>
                <w:sz w:val="24"/>
                <w:szCs w:val="24"/>
                <w:lang w:val="en-GB"/>
              </w:rPr>
              <w:t xml:space="preserve">Legal form </w:t>
            </w:r>
            <w:r w:rsidR="002C3A42" w:rsidRPr="00C64883">
              <w:rPr>
                <w:b/>
                <w:sz w:val="24"/>
                <w:szCs w:val="24"/>
                <w:lang w:val="en-GB"/>
              </w:rPr>
              <w:t>and Licence status</w:t>
            </w:r>
          </w:p>
        </w:tc>
        <w:tc>
          <w:tcPr>
            <w:tcW w:w="3898" w:type="pct"/>
          </w:tcPr>
          <w:p w:rsidR="002C3A42" w:rsidRPr="00AD356C" w:rsidRDefault="00DD2B0B" w:rsidP="002C3A42">
            <w:pPr>
              <w:pStyle w:val="ListParagraph"/>
              <w:numPr>
                <w:ilvl w:val="0"/>
                <w:numId w:val="16"/>
              </w:numPr>
              <w:ind w:left="376" w:hanging="376"/>
              <w:rPr>
                <w:lang w:val="en-GB"/>
              </w:rPr>
            </w:pPr>
            <w:r w:rsidRPr="00AD356C">
              <w:t>Every</w:t>
            </w:r>
            <w:r w:rsidRPr="00AD356C">
              <w:rPr>
                <w:lang w:val="en-GB"/>
              </w:rPr>
              <w:t xml:space="preserve"> </w:t>
            </w:r>
            <w:r w:rsidR="002C3A42" w:rsidRPr="00AD356C">
              <w:rPr>
                <w:bCs/>
                <w:lang w:val="en-GB"/>
              </w:rPr>
              <w:t>eligible institutions</w:t>
            </w:r>
            <w:r w:rsidRPr="00AD356C">
              <w:rPr>
                <w:lang w:val="en-GB"/>
              </w:rPr>
              <w:t xml:space="preserve"> must be organized in the form of a company limited by shares and incorporated under the laws of Tanzania and has microfinance products in its normal course of business.</w:t>
            </w:r>
            <w:r w:rsidR="002C3A42" w:rsidRPr="00AD356C">
              <w:rPr>
                <w:lang w:val="en-GB"/>
              </w:rPr>
              <w:t xml:space="preserve"> </w:t>
            </w:r>
          </w:p>
          <w:p w:rsidR="00DD2B0B" w:rsidRPr="002E6CA7" w:rsidRDefault="00DD2B0B" w:rsidP="002C3A42">
            <w:pPr>
              <w:rPr>
                <w:bCs/>
                <w:sz w:val="24"/>
                <w:szCs w:val="24"/>
                <w:lang w:val="en-GB"/>
              </w:rPr>
            </w:pPr>
          </w:p>
        </w:tc>
      </w:tr>
      <w:tr w:rsidR="00AD356C" w:rsidRPr="002E6CA7" w:rsidTr="002B7476">
        <w:tblPrEx>
          <w:tblLook w:val="01E0" w:firstRow="1" w:lastRow="1" w:firstColumn="1" w:lastColumn="1" w:noHBand="0" w:noVBand="0"/>
        </w:tblPrEx>
        <w:tc>
          <w:tcPr>
            <w:tcW w:w="1102" w:type="pct"/>
          </w:tcPr>
          <w:p w:rsidR="00AD356C" w:rsidRPr="00C64883" w:rsidRDefault="00AD356C" w:rsidP="002B7476">
            <w:pPr>
              <w:jc w:val="left"/>
              <w:rPr>
                <w:b/>
                <w:sz w:val="24"/>
                <w:szCs w:val="24"/>
                <w:lang w:val="en-GB"/>
              </w:rPr>
            </w:pPr>
          </w:p>
        </w:tc>
        <w:tc>
          <w:tcPr>
            <w:tcW w:w="3898" w:type="pct"/>
          </w:tcPr>
          <w:p w:rsidR="00AD356C" w:rsidRPr="00AD356C" w:rsidRDefault="00AD356C" w:rsidP="00AD356C">
            <w:pPr>
              <w:pStyle w:val="ListParagraph"/>
              <w:numPr>
                <w:ilvl w:val="0"/>
                <w:numId w:val="16"/>
              </w:numPr>
              <w:ind w:left="376" w:hanging="376"/>
            </w:pPr>
            <w:r w:rsidRPr="002E6CA7">
              <w:rPr>
                <w:bCs/>
                <w:lang w:val="en-GB"/>
              </w:rPr>
              <w:t>The eligible institutions must be licensed and regulated by any Government Agency, and offers or intend to offer housing microfinance products to individuals.</w:t>
            </w:r>
          </w:p>
        </w:tc>
      </w:tr>
      <w:tr w:rsidR="00DD2B0B" w:rsidRPr="002E6CA7" w:rsidTr="002B7476">
        <w:tblPrEx>
          <w:tblLook w:val="01E0" w:firstRow="1" w:lastRow="1" w:firstColumn="1" w:lastColumn="1" w:noHBand="0" w:noVBand="0"/>
        </w:tblPrEx>
        <w:tc>
          <w:tcPr>
            <w:tcW w:w="1102" w:type="pct"/>
          </w:tcPr>
          <w:p w:rsidR="00DD2B0B" w:rsidRPr="00C64883" w:rsidRDefault="00DD2B0B" w:rsidP="002B7476">
            <w:pPr>
              <w:jc w:val="left"/>
              <w:rPr>
                <w:b/>
                <w:sz w:val="24"/>
                <w:szCs w:val="24"/>
                <w:lang w:val="en-GB"/>
              </w:rPr>
            </w:pPr>
            <w:r w:rsidRPr="00C64883">
              <w:rPr>
                <w:b/>
                <w:sz w:val="24"/>
                <w:szCs w:val="24"/>
                <w:lang w:val="en-GB"/>
              </w:rPr>
              <w:t>Governance</w:t>
            </w:r>
          </w:p>
        </w:tc>
        <w:tc>
          <w:tcPr>
            <w:tcW w:w="3898" w:type="pct"/>
          </w:tcPr>
          <w:p w:rsidR="000721FA" w:rsidRPr="002E6CA7" w:rsidRDefault="000721FA" w:rsidP="00AD356C">
            <w:pPr>
              <w:pStyle w:val="ListParagraph"/>
              <w:numPr>
                <w:ilvl w:val="0"/>
                <w:numId w:val="16"/>
              </w:numPr>
              <w:ind w:left="376" w:hanging="376"/>
            </w:pPr>
            <w:r w:rsidRPr="002E6CA7">
              <w:t xml:space="preserve">At all time, the officer in-charge of the housing microfinance of the applicant shall have a satisfactory record of experience in managing microcredit or housing microfinance portfolio. </w:t>
            </w:r>
          </w:p>
          <w:p w:rsidR="00DD2B0B" w:rsidRPr="002E6CA7" w:rsidRDefault="00DD2B0B" w:rsidP="005316FC">
            <w:pPr>
              <w:rPr>
                <w:sz w:val="24"/>
                <w:szCs w:val="24"/>
              </w:rPr>
            </w:pPr>
          </w:p>
        </w:tc>
      </w:tr>
      <w:tr w:rsidR="00DD2B0B" w:rsidRPr="002E6CA7" w:rsidTr="002B7476">
        <w:trPr>
          <w:trHeight w:val="790"/>
        </w:trPr>
        <w:tc>
          <w:tcPr>
            <w:tcW w:w="1102" w:type="pct"/>
          </w:tcPr>
          <w:p w:rsidR="00DD2B0B" w:rsidRPr="00C64883" w:rsidRDefault="00DD2B0B" w:rsidP="002B7476">
            <w:pPr>
              <w:jc w:val="left"/>
              <w:rPr>
                <w:b/>
                <w:sz w:val="24"/>
                <w:szCs w:val="24"/>
              </w:rPr>
            </w:pPr>
            <w:r w:rsidRPr="00C64883">
              <w:rPr>
                <w:b/>
                <w:sz w:val="24"/>
                <w:szCs w:val="24"/>
              </w:rPr>
              <w:t xml:space="preserve">Minimum capital </w:t>
            </w:r>
          </w:p>
          <w:p w:rsidR="00DD2B0B" w:rsidRPr="00C64883" w:rsidRDefault="00DD2B0B" w:rsidP="002B7476">
            <w:pPr>
              <w:jc w:val="left"/>
              <w:rPr>
                <w:b/>
                <w:sz w:val="24"/>
                <w:szCs w:val="24"/>
              </w:rPr>
            </w:pPr>
          </w:p>
          <w:p w:rsidR="00DD2B0B" w:rsidRPr="00C64883" w:rsidRDefault="00DD2B0B" w:rsidP="002B7476">
            <w:pPr>
              <w:jc w:val="left"/>
              <w:rPr>
                <w:b/>
                <w:sz w:val="24"/>
                <w:szCs w:val="24"/>
              </w:rPr>
            </w:pPr>
          </w:p>
        </w:tc>
        <w:tc>
          <w:tcPr>
            <w:tcW w:w="3898" w:type="pct"/>
          </w:tcPr>
          <w:p w:rsidR="00DD2B0B" w:rsidRPr="002E6CA7" w:rsidRDefault="00DD2B0B" w:rsidP="00AD356C">
            <w:pPr>
              <w:pStyle w:val="ListParagraph"/>
              <w:numPr>
                <w:ilvl w:val="0"/>
                <w:numId w:val="16"/>
              </w:numPr>
              <w:ind w:left="376" w:hanging="376"/>
            </w:pPr>
            <w:r w:rsidRPr="002E6CA7">
              <w:t>Every borrower must be meeting the regulatory capital and capital adequacy requirements as stipulated by its respective regulator.</w:t>
            </w:r>
          </w:p>
        </w:tc>
      </w:tr>
    </w:tbl>
    <w:p w:rsidR="001D5106" w:rsidRPr="002E6CA7" w:rsidRDefault="001D5106" w:rsidP="001D5106">
      <w:pPr>
        <w:rPr>
          <w:vanish/>
          <w:sz w:val="24"/>
          <w:szCs w:val="24"/>
        </w:rPr>
      </w:pPr>
    </w:p>
    <w:p w:rsidR="00FC36C2" w:rsidRPr="002E6CA7" w:rsidRDefault="00FC36C2" w:rsidP="00FC36C2">
      <w:pPr>
        <w:rPr>
          <w:vanish/>
          <w:sz w:val="24"/>
          <w:szCs w:val="24"/>
        </w:rPr>
      </w:pPr>
    </w:p>
    <w:p w:rsidR="00FC36C2" w:rsidRPr="002E6CA7" w:rsidRDefault="00FC36C2" w:rsidP="00FC36C2">
      <w:pPr>
        <w:rPr>
          <w:vanish/>
          <w:sz w:val="24"/>
          <w:szCs w:val="24"/>
        </w:rPr>
      </w:pPr>
    </w:p>
    <w:tbl>
      <w:tblPr>
        <w:tblW w:w="5364" w:type="pct"/>
        <w:tblLayout w:type="fixed"/>
        <w:tblLook w:val="04A0" w:firstRow="1" w:lastRow="0" w:firstColumn="1" w:lastColumn="0" w:noHBand="0" w:noVBand="1"/>
      </w:tblPr>
      <w:tblGrid>
        <w:gridCol w:w="2323"/>
        <w:gridCol w:w="8225"/>
      </w:tblGrid>
      <w:tr w:rsidR="004E4473" w:rsidRPr="002E6CA7" w:rsidTr="008B15E5">
        <w:trPr>
          <w:trHeight w:val="144"/>
        </w:trPr>
        <w:tc>
          <w:tcPr>
            <w:tcW w:w="1101" w:type="pct"/>
            <w:vMerge w:val="restart"/>
          </w:tcPr>
          <w:p w:rsidR="004E4473" w:rsidRPr="00C64883" w:rsidRDefault="004E4473" w:rsidP="00A21F0E">
            <w:pPr>
              <w:jc w:val="left"/>
              <w:rPr>
                <w:b/>
                <w:sz w:val="24"/>
                <w:szCs w:val="24"/>
              </w:rPr>
            </w:pPr>
            <w:r w:rsidRPr="00C64883">
              <w:rPr>
                <w:b/>
                <w:sz w:val="24"/>
                <w:szCs w:val="24"/>
              </w:rPr>
              <w:t>Risk management policies</w:t>
            </w:r>
          </w:p>
        </w:tc>
        <w:tc>
          <w:tcPr>
            <w:tcW w:w="3899" w:type="pct"/>
          </w:tcPr>
          <w:p w:rsidR="004E4473" w:rsidRPr="002E6CA7" w:rsidRDefault="004E4473" w:rsidP="00AD356C">
            <w:pPr>
              <w:pStyle w:val="ListParagraph"/>
              <w:numPr>
                <w:ilvl w:val="0"/>
                <w:numId w:val="16"/>
              </w:numPr>
              <w:ind w:left="376" w:hanging="376"/>
            </w:pPr>
            <w:r w:rsidRPr="002E6CA7">
              <w:t xml:space="preserve">The </w:t>
            </w:r>
            <w:r w:rsidR="00260F93" w:rsidRPr="002E6CA7">
              <w:t>borrow</w:t>
            </w:r>
            <w:r w:rsidR="000721FA" w:rsidRPr="002E6CA7">
              <w:t>ing institution</w:t>
            </w:r>
            <w:r w:rsidR="00260F93" w:rsidRPr="002E6CA7">
              <w:t xml:space="preserve"> must have</w:t>
            </w:r>
            <w:r w:rsidRPr="002E6CA7">
              <w:t xml:space="preserve"> appropriate policies on risk management </w:t>
            </w:r>
            <w:r w:rsidR="00260F93" w:rsidRPr="002E6CA7">
              <w:t xml:space="preserve">and an undertaking that it </w:t>
            </w:r>
            <w:r w:rsidRPr="002E6CA7">
              <w:t xml:space="preserve">shall be fully responsible and accountable for the execution of such policies. </w:t>
            </w:r>
          </w:p>
          <w:p w:rsidR="004E4473" w:rsidRPr="002E6CA7" w:rsidRDefault="004E4473" w:rsidP="00EB7E78">
            <w:pPr>
              <w:ind w:left="3" w:firstLine="21"/>
              <w:rPr>
                <w:sz w:val="24"/>
                <w:szCs w:val="24"/>
              </w:rPr>
            </w:pPr>
          </w:p>
        </w:tc>
      </w:tr>
      <w:tr w:rsidR="004E4473" w:rsidRPr="002E6CA7" w:rsidTr="008B15E5">
        <w:trPr>
          <w:trHeight w:val="144"/>
        </w:trPr>
        <w:tc>
          <w:tcPr>
            <w:tcW w:w="1101" w:type="pct"/>
            <w:vMerge/>
          </w:tcPr>
          <w:p w:rsidR="004E4473" w:rsidRPr="00C64883" w:rsidRDefault="004E4473" w:rsidP="00A21F0E">
            <w:pPr>
              <w:keepNext/>
              <w:spacing w:before="240" w:after="60"/>
              <w:jc w:val="left"/>
              <w:outlineLvl w:val="2"/>
              <w:rPr>
                <w:b/>
                <w:sz w:val="24"/>
                <w:szCs w:val="24"/>
              </w:rPr>
            </w:pPr>
          </w:p>
        </w:tc>
        <w:tc>
          <w:tcPr>
            <w:tcW w:w="3899" w:type="pct"/>
          </w:tcPr>
          <w:p w:rsidR="004E4473" w:rsidRPr="002E6CA7" w:rsidRDefault="004E4473" w:rsidP="00AD356C">
            <w:pPr>
              <w:pStyle w:val="ListParagraph"/>
              <w:numPr>
                <w:ilvl w:val="0"/>
                <w:numId w:val="16"/>
              </w:numPr>
              <w:ind w:left="376" w:hanging="376"/>
            </w:pPr>
            <w:r w:rsidRPr="002E6CA7">
              <w:t>The policies shall at least include a credit policy establishing a framework for making credit and investment decisions</w:t>
            </w:r>
            <w:r w:rsidR="000721FA" w:rsidRPr="002E6CA7">
              <w:t>,</w:t>
            </w:r>
            <w:r w:rsidRPr="002E6CA7">
              <w:t xml:space="preserve"> including:-</w:t>
            </w:r>
          </w:p>
          <w:p w:rsidR="004E4473" w:rsidRPr="00AD356C" w:rsidRDefault="00AD356C" w:rsidP="00AD356C">
            <w:pPr>
              <w:numPr>
                <w:ilvl w:val="0"/>
                <w:numId w:val="19"/>
              </w:numPr>
              <w:ind w:left="1640"/>
              <w:rPr>
                <w:sz w:val="24"/>
                <w:szCs w:val="24"/>
                <w:lang w:val="en-GB"/>
              </w:rPr>
            </w:pPr>
            <w:r>
              <w:rPr>
                <w:sz w:val="24"/>
                <w:szCs w:val="24"/>
              </w:rPr>
              <w:t xml:space="preserve"> </w:t>
            </w:r>
            <w:r w:rsidR="004E4473" w:rsidRPr="00AD356C">
              <w:rPr>
                <w:sz w:val="24"/>
                <w:szCs w:val="24"/>
                <w:lang w:val="en-GB"/>
              </w:rPr>
              <w:t>a system for measuring and monitoring credit risk;</w:t>
            </w:r>
          </w:p>
          <w:p w:rsidR="004E4473" w:rsidRPr="00AD356C" w:rsidRDefault="00AD356C" w:rsidP="00AD356C">
            <w:pPr>
              <w:numPr>
                <w:ilvl w:val="0"/>
                <w:numId w:val="19"/>
              </w:numPr>
              <w:ind w:left="1640"/>
              <w:rPr>
                <w:sz w:val="24"/>
                <w:szCs w:val="24"/>
                <w:lang w:val="en-GB"/>
              </w:rPr>
            </w:pPr>
            <w:r>
              <w:rPr>
                <w:sz w:val="24"/>
                <w:szCs w:val="24"/>
                <w:lang w:val="en-GB"/>
              </w:rPr>
              <w:t xml:space="preserve"> </w:t>
            </w:r>
            <w:r w:rsidR="004E4473" w:rsidRPr="00AD356C">
              <w:rPr>
                <w:sz w:val="24"/>
                <w:szCs w:val="24"/>
                <w:lang w:val="en-GB"/>
              </w:rPr>
              <w:t xml:space="preserve">internal risk rating system; </w:t>
            </w:r>
          </w:p>
          <w:p w:rsidR="004E4473" w:rsidRPr="00AD356C" w:rsidRDefault="00AD356C" w:rsidP="00AD356C">
            <w:pPr>
              <w:numPr>
                <w:ilvl w:val="0"/>
                <w:numId w:val="19"/>
              </w:numPr>
              <w:ind w:left="1640"/>
              <w:rPr>
                <w:sz w:val="24"/>
                <w:szCs w:val="24"/>
                <w:lang w:val="en-GB"/>
              </w:rPr>
            </w:pPr>
            <w:r>
              <w:rPr>
                <w:sz w:val="24"/>
                <w:szCs w:val="24"/>
                <w:lang w:val="en-GB"/>
              </w:rPr>
              <w:t xml:space="preserve"> </w:t>
            </w:r>
            <w:r w:rsidR="004E4473" w:rsidRPr="00AD356C">
              <w:rPr>
                <w:sz w:val="24"/>
                <w:szCs w:val="24"/>
              </w:rPr>
              <w:t>provisioning</w:t>
            </w:r>
            <w:r w:rsidR="004E4473" w:rsidRPr="00AD356C">
              <w:rPr>
                <w:sz w:val="24"/>
                <w:szCs w:val="24"/>
                <w:lang w:val="en-GB"/>
              </w:rPr>
              <w:t xml:space="preserve"> standards;</w:t>
            </w:r>
          </w:p>
          <w:p w:rsidR="004E4473" w:rsidRPr="00AD356C" w:rsidRDefault="00AD356C" w:rsidP="00AD356C">
            <w:pPr>
              <w:numPr>
                <w:ilvl w:val="0"/>
                <w:numId w:val="19"/>
              </w:numPr>
              <w:ind w:left="1640"/>
              <w:rPr>
                <w:sz w:val="24"/>
                <w:szCs w:val="24"/>
                <w:lang w:val="en-GB"/>
              </w:rPr>
            </w:pPr>
            <w:r>
              <w:rPr>
                <w:sz w:val="24"/>
                <w:szCs w:val="24"/>
                <w:lang w:val="en-GB"/>
              </w:rPr>
              <w:t xml:space="preserve"> </w:t>
            </w:r>
            <w:r w:rsidR="004E4473" w:rsidRPr="00AD356C">
              <w:rPr>
                <w:sz w:val="24"/>
                <w:szCs w:val="24"/>
                <w:lang w:val="en-GB"/>
              </w:rPr>
              <w:t xml:space="preserve">procedures for identifying risk concentration; </w:t>
            </w:r>
          </w:p>
          <w:p w:rsidR="004E4473" w:rsidRPr="00AD356C" w:rsidRDefault="00AD356C" w:rsidP="002F434A">
            <w:pPr>
              <w:numPr>
                <w:ilvl w:val="0"/>
                <w:numId w:val="19"/>
              </w:numPr>
              <w:ind w:left="1100" w:hanging="180"/>
              <w:rPr>
                <w:sz w:val="24"/>
                <w:szCs w:val="24"/>
                <w:lang w:val="en-GB"/>
              </w:rPr>
            </w:pPr>
            <w:r>
              <w:rPr>
                <w:sz w:val="24"/>
                <w:szCs w:val="24"/>
                <w:lang w:val="en-GB"/>
              </w:rPr>
              <w:t xml:space="preserve"> </w:t>
            </w:r>
            <w:r w:rsidR="004E4473" w:rsidRPr="00AD356C">
              <w:rPr>
                <w:sz w:val="24"/>
                <w:szCs w:val="24"/>
                <w:lang w:val="en-GB"/>
              </w:rPr>
              <w:t>periodic review of the effectiveness of monitoring and reporting systems for risk concentration; and</w:t>
            </w:r>
          </w:p>
          <w:p w:rsidR="004E4473" w:rsidRPr="002E6CA7" w:rsidRDefault="00AD356C" w:rsidP="002F434A">
            <w:pPr>
              <w:numPr>
                <w:ilvl w:val="0"/>
                <w:numId w:val="19"/>
              </w:numPr>
              <w:ind w:left="1010" w:hanging="90"/>
              <w:rPr>
                <w:sz w:val="24"/>
                <w:szCs w:val="24"/>
              </w:rPr>
            </w:pPr>
            <w:r>
              <w:rPr>
                <w:sz w:val="24"/>
                <w:szCs w:val="24"/>
                <w:lang w:val="en-GB"/>
              </w:rPr>
              <w:t xml:space="preserve"> </w:t>
            </w:r>
            <w:r w:rsidR="004E4473" w:rsidRPr="00AD356C">
              <w:rPr>
                <w:sz w:val="24"/>
                <w:szCs w:val="24"/>
                <w:lang w:val="en-GB"/>
              </w:rPr>
              <w:t>maximum amounts that can be approved at every level of discretion, as well</w:t>
            </w:r>
            <w:r w:rsidR="004E4473" w:rsidRPr="002E6CA7">
              <w:rPr>
                <w:sz w:val="24"/>
                <w:szCs w:val="24"/>
              </w:rPr>
              <w:t xml:space="preserve"> as the documentary and procedural requirements and the internal controls to be maintained.</w:t>
            </w:r>
          </w:p>
          <w:p w:rsidR="004E4473" w:rsidRPr="002E6CA7" w:rsidRDefault="004E4473" w:rsidP="00EB7E78">
            <w:pPr>
              <w:ind w:left="3" w:firstLine="21"/>
              <w:rPr>
                <w:sz w:val="24"/>
                <w:szCs w:val="24"/>
              </w:rPr>
            </w:pPr>
          </w:p>
        </w:tc>
      </w:tr>
      <w:tr w:rsidR="002B7476" w:rsidRPr="002E6CA7" w:rsidTr="008B15E5">
        <w:trPr>
          <w:trHeight w:val="144"/>
        </w:trPr>
        <w:tc>
          <w:tcPr>
            <w:tcW w:w="1101" w:type="pct"/>
          </w:tcPr>
          <w:p w:rsidR="00C64883" w:rsidRPr="00C64883" w:rsidRDefault="00C64883" w:rsidP="00A21F0E">
            <w:pPr>
              <w:jc w:val="left"/>
              <w:rPr>
                <w:b/>
                <w:sz w:val="24"/>
                <w:szCs w:val="24"/>
              </w:rPr>
            </w:pPr>
            <w:r w:rsidRPr="00C64883">
              <w:rPr>
                <w:b/>
                <w:sz w:val="24"/>
                <w:szCs w:val="24"/>
              </w:rPr>
              <w:t>Grant of a loan</w:t>
            </w:r>
          </w:p>
        </w:tc>
        <w:tc>
          <w:tcPr>
            <w:tcW w:w="3899" w:type="pct"/>
          </w:tcPr>
          <w:p w:rsidR="00C64883" w:rsidRPr="00C64883" w:rsidRDefault="00C64883" w:rsidP="00C64883">
            <w:pPr>
              <w:pStyle w:val="ListParagraph"/>
              <w:numPr>
                <w:ilvl w:val="0"/>
                <w:numId w:val="16"/>
              </w:numPr>
              <w:ind w:left="376" w:hanging="376"/>
            </w:pPr>
            <w:r w:rsidRPr="00C64883">
              <w:t>The Bank of Tanzania shall, within thirty days after receipt of a complete application for a loan, or where further information has been required, after receipt of such information, grant a loan or reject the application.</w:t>
            </w:r>
          </w:p>
        </w:tc>
      </w:tr>
      <w:tr w:rsidR="002B7476" w:rsidRPr="002E6CA7" w:rsidTr="008B15E5">
        <w:trPr>
          <w:trHeight w:val="144"/>
        </w:trPr>
        <w:tc>
          <w:tcPr>
            <w:tcW w:w="1101" w:type="pct"/>
          </w:tcPr>
          <w:p w:rsidR="00C64883" w:rsidRPr="00C64883" w:rsidRDefault="00C64883" w:rsidP="00A21F0E">
            <w:pPr>
              <w:jc w:val="left"/>
              <w:rPr>
                <w:b/>
                <w:sz w:val="24"/>
                <w:szCs w:val="24"/>
              </w:rPr>
            </w:pPr>
          </w:p>
        </w:tc>
        <w:tc>
          <w:tcPr>
            <w:tcW w:w="3899" w:type="pct"/>
          </w:tcPr>
          <w:p w:rsidR="00C64883" w:rsidRPr="00C64883" w:rsidRDefault="00C64883" w:rsidP="00C64883">
            <w:pPr>
              <w:pStyle w:val="ListParagraph"/>
              <w:numPr>
                <w:ilvl w:val="0"/>
                <w:numId w:val="16"/>
              </w:numPr>
              <w:ind w:left="376" w:hanging="376"/>
            </w:pPr>
            <w:r w:rsidRPr="00C64883">
              <w:t>Where an application is denied, the Bank of Tanzania shall, in writing, inform the applicant of the reasons for the denial.</w:t>
            </w:r>
          </w:p>
          <w:p w:rsidR="00C64883" w:rsidRPr="00C64883" w:rsidRDefault="00C64883" w:rsidP="00C64883">
            <w:pPr>
              <w:pStyle w:val="ListParagraph"/>
            </w:pPr>
          </w:p>
        </w:tc>
      </w:tr>
      <w:tr w:rsidR="002B7476" w:rsidRPr="002E6CA7" w:rsidTr="008B15E5">
        <w:trPr>
          <w:trHeight w:val="558"/>
        </w:trPr>
        <w:tc>
          <w:tcPr>
            <w:tcW w:w="1101" w:type="pct"/>
          </w:tcPr>
          <w:p w:rsidR="00C64883" w:rsidRPr="00C64883" w:rsidRDefault="00C64883" w:rsidP="00A21F0E">
            <w:pPr>
              <w:jc w:val="left"/>
              <w:rPr>
                <w:sz w:val="24"/>
                <w:szCs w:val="24"/>
              </w:rPr>
            </w:pPr>
          </w:p>
        </w:tc>
        <w:tc>
          <w:tcPr>
            <w:tcW w:w="3899" w:type="pct"/>
          </w:tcPr>
          <w:p w:rsidR="00C64883" w:rsidRPr="002E6CA7" w:rsidRDefault="00C64883" w:rsidP="00C64883">
            <w:pPr>
              <w:pStyle w:val="ListParagraph"/>
              <w:numPr>
                <w:ilvl w:val="0"/>
                <w:numId w:val="16"/>
              </w:numPr>
              <w:ind w:left="376" w:hanging="376"/>
            </w:pPr>
            <w:r w:rsidRPr="002E6CA7">
              <w:t>An applicant whose application has been rejected may re-apply, if the issues which were the basis for rejection of the application have been addressed.</w:t>
            </w:r>
          </w:p>
          <w:p w:rsidR="00C64883" w:rsidRPr="00C64883" w:rsidRDefault="00C64883" w:rsidP="00C64883">
            <w:pPr>
              <w:pStyle w:val="ListParagraph"/>
            </w:pPr>
          </w:p>
        </w:tc>
      </w:tr>
      <w:tr w:rsidR="004E4473" w:rsidRPr="002E6CA7" w:rsidTr="008B15E5">
        <w:trPr>
          <w:trHeight w:val="144"/>
        </w:trPr>
        <w:tc>
          <w:tcPr>
            <w:tcW w:w="1101" w:type="pct"/>
          </w:tcPr>
          <w:p w:rsidR="004E4473" w:rsidRPr="00C64883" w:rsidRDefault="00260F93" w:rsidP="00A21F0E">
            <w:pPr>
              <w:jc w:val="left"/>
              <w:rPr>
                <w:b/>
                <w:sz w:val="24"/>
                <w:szCs w:val="24"/>
              </w:rPr>
            </w:pPr>
            <w:r w:rsidRPr="00C64883">
              <w:rPr>
                <w:b/>
                <w:sz w:val="24"/>
                <w:szCs w:val="24"/>
              </w:rPr>
              <w:lastRenderedPageBreak/>
              <w:t>C</w:t>
            </w:r>
            <w:r w:rsidR="004E4473" w:rsidRPr="00C64883">
              <w:rPr>
                <w:b/>
                <w:sz w:val="24"/>
                <w:szCs w:val="24"/>
              </w:rPr>
              <w:t>ollateral</w:t>
            </w:r>
            <w:r w:rsidRPr="00C64883">
              <w:rPr>
                <w:b/>
                <w:sz w:val="24"/>
                <w:szCs w:val="24"/>
              </w:rPr>
              <w:t xml:space="preserve"> for the loan</w:t>
            </w:r>
          </w:p>
        </w:tc>
        <w:tc>
          <w:tcPr>
            <w:tcW w:w="3899" w:type="pct"/>
          </w:tcPr>
          <w:p w:rsidR="004E4473" w:rsidRDefault="00260F93" w:rsidP="008B15E5">
            <w:pPr>
              <w:pStyle w:val="ListParagraph"/>
              <w:numPr>
                <w:ilvl w:val="0"/>
                <w:numId w:val="16"/>
              </w:numPr>
              <w:ind w:left="376" w:hanging="376"/>
            </w:pPr>
            <w:r w:rsidRPr="002E6CA7">
              <w:t xml:space="preserve">Collateral for the loan can be </w:t>
            </w:r>
            <w:r w:rsidR="004E4473" w:rsidRPr="002E6CA7">
              <w:t>registered collateral</w:t>
            </w:r>
            <w:r w:rsidRPr="002E6CA7">
              <w:t xml:space="preserve"> or</w:t>
            </w:r>
            <w:r w:rsidR="004E4473" w:rsidRPr="002E6CA7">
              <w:t xml:space="preserve"> contractual pledging </w:t>
            </w:r>
            <w:r w:rsidRPr="002E6CA7">
              <w:t>of</w:t>
            </w:r>
            <w:r w:rsidR="004E4473" w:rsidRPr="002E6CA7">
              <w:t xml:space="preserve"> business a</w:t>
            </w:r>
            <w:r w:rsidRPr="002E6CA7">
              <w:t>ssets.</w:t>
            </w:r>
            <w:r w:rsidR="009767F7" w:rsidRPr="002E6CA7">
              <w:t xml:space="preserve"> Registered collateral means a fixed charge Debenture and a floating charge specific Debenture whatsoever, present and future in </w:t>
            </w:r>
            <w:r w:rsidR="000721FA" w:rsidRPr="002E6CA7">
              <w:t>favor</w:t>
            </w:r>
            <w:r w:rsidR="009767F7" w:rsidRPr="002E6CA7">
              <w:t xml:space="preserve"> of </w:t>
            </w:r>
            <w:r w:rsidR="000721FA" w:rsidRPr="002E6CA7">
              <w:t>HMFF</w:t>
            </w:r>
            <w:r w:rsidR="009767F7" w:rsidRPr="002E6CA7">
              <w:t xml:space="preserve"> over specified loan portfolios </w:t>
            </w:r>
            <w:r w:rsidR="000721FA" w:rsidRPr="002E6CA7">
              <w:t>covering</w:t>
            </w:r>
            <w:r w:rsidR="009767F7" w:rsidRPr="002E6CA7">
              <w:t xml:space="preserve"> no</w:t>
            </w:r>
            <w:r w:rsidR="000721FA" w:rsidRPr="002E6CA7">
              <w:t>t</w:t>
            </w:r>
            <w:r w:rsidR="009767F7" w:rsidRPr="002E6CA7">
              <w:t xml:space="preserve"> less tha</w:t>
            </w:r>
            <w:r w:rsidR="00C7191F" w:rsidRPr="002E6CA7">
              <w:t xml:space="preserve">n 110% of the value of the Loan. It </w:t>
            </w:r>
            <w:r w:rsidR="000721FA" w:rsidRPr="002E6CA7">
              <w:t xml:space="preserve">may </w:t>
            </w:r>
            <w:r w:rsidR="00C7191F" w:rsidRPr="002E6CA7">
              <w:t xml:space="preserve">also include </w:t>
            </w:r>
            <w:r w:rsidR="000721FA" w:rsidRPr="002E6CA7">
              <w:t>b</w:t>
            </w:r>
            <w:r w:rsidR="00C7191F" w:rsidRPr="002E6CA7">
              <w:t>orrow</w:t>
            </w:r>
            <w:r w:rsidR="000721FA" w:rsidRPr="002E6CA7">
              <w:t>ing institution’s</w:t>
            </w:r>
            <w:r w:rsidR="00C7191F" w:rsidRPr="002E6CA7">
              <w:t xml:space="preserve"> Treasury Bills or Bonds </w:t>
            </w:r>
            <w:r w:rsidR="000721FA" w:rsidRPr="002E6CA7">
              <w:t>with</w:t>
            </w:r>
            <w:r w:rsidR="00C7191F" w:rsidRPr="002E6CA7">
              <w:t xml:space="preserve"> written authorization to pay </w:t>
            </w:r>
            <w:r w:rsidR="000721FA" w:rsidRPr="002E6CA7">
              <w:t>HMFF</w:t>
            </w:r>
            <w:r w:rsidR="00C7191F" w:rsidRPr="002E6CA7">
              <w:t xml:space="preserve"> directly.</w:t>
            </w:r>
          </w:p>
          <w:p w:rsidR="008B15E5" w:rsidRPr="002E6CA7" w:rsidRDefault="008B15E5" w:rsidP="008B15E5">
            <w:pPr>
              <w:pStyle w:val="ListParagraph"/>
              <w:ind w:left="376"/>
            </w:pPr>
          </w:p>
        </w:tc>
      </w:tr>
      <w:tr w:rsidR="006A4447" w:rsidRPr="002E6CA7" w:rsidTr="008B15E5">
        <w:trPr>
          <w:trHeight w:val="2303"/>
        </w:trPr>
        <w:tc>
          <w:tcPr>
            <w:tcW w:w="1101" w:type="pct"/>
          </w:tcPr>
          <w:p w:rsidR="006A4447" w:rsidRPr="00C64883" w:rsidRDefault="006A4447" w:rsidP="00A21F0E">
            <w:pPr>
              <w:jc w:val="left"/>
              <w:rPr>
                <w:b/>
                <w:sz w:val="24"/>
                <w:szCs w:val="24"/>
              </w:rPr>
            </w:pPr>
            <w:r w:rsidRPr="00C64883">
              <w:rPr>
                <w:b/>
                <w:sz w:val="24"/>
                <w:szCs w:val="24"/>
              </w:rPr>
              <w:t>Rate of Interest</w:t>
            </w:r>
          </w:p>
        </w:tc>
        <w:tc>
          <w:tcPr>
            <w:tcW w:w="3899" w:type="pct"/>
          </w:tcPr>
          <w:p w:rsidR="006A4447" w:rsidRDefault="006A4447" w:rsidP="00AD56E4">
            <w:pPr>
              <w:pStyle w:val="ListParagraph"/>
              <w:numPr>
                <w:ilvl w:val="0"/>
                <w:numId w:val="16"/>
              </w:numPr>
              <w:ind w:left="380"/>
            </w:pPr>
            <w:r w:rsidRPr="002F434A">
              <w:t xml:space="preserve">The </w:t>
            </w:r>
            <w:r w:rsidR="00AD56E4">
              <w:t>rate of interest shall be</w:t>
            </w:r>
            <w:r w:rsidRPr="002F434A">
              <w:t xml:space="preserve"> 182-day T-Bill yield with a discount. Every last Friday of the month the 182-day T-Bill yield will be taken and form the new reference rate. The discount is for a maximum amount of 5 per cent, and is applicable only to that portion of the interest rate above 10 per cent. This effectively means that if the calculated rate falls below 10 per cent no discount applies. Or for example if the calculated rate is 11.5 per cent, the discount would amount to just 1.5 per cent, taking the rate down to 10 per cent.</w:t>
            </w:r>
            <w:r w:rsidR="002F434A">
              <w:t xml:space="preserve"> </w:t>
            </w:r>
            <w:r w:rsidRPr="002F434A">
              <w:t xml:space="preserve">Data on Government securities will be taken directly from BOT website. </w:t>
            </w:r>
          </w:p>
          <w:p w:rsidR="008B15E5" w:rsidRPr="002E6CA7" w:rsidRDefault="008B15E5" w:rsidP="008B15E5">
            <w:pPr>
              <w:pStyle w:val="ListParagraph"/>
              <w:ind w:left="380"/>
            </w:pPr>
          </w:p>
        </w:tc>
      </w:tr>
      <w:tr w:rsidR="006A4447" w:rsidRPr="002E6CA7" w:rsidTr="008B15E5">
        <w:trPr>
          <w:trHeight w:val="144"/>
        </w:trPr>
        <w:tc>
          <w:tcPr>
            <w:tcW w:w="1101" w:type="pct"/>
          </w:tcPr>
          <w:p w:rsidR="006A4447" w:rsidRPr="00C64883" w:rsidRDefault="006A4447" w:rsidP="00A21F0E">
            <w:pPr>
              <w:jc w:val="left"/>
              <w:rPr>
                <w:b/>
                <w:sz w:val="24"/>
                <w:szCs w:val="24"/>
              </w:rPr>
            </w:pPr>
            <w:r w:rsidRPr="00C64883">
              <w:rPr>
                <w:b/>
                <w:sz w:val="24"/>
                <w:szCs w:val="24"/>
              </w:rPr>
              <w:t>Tenure of the Loan</w:t>
            </w:r>
          </w:p>
        </w:tc>
        <w:tc>
          <w:tcPr>
            <w:tcW w:w="3899" w:type="pct"/>
          </w:tcPr>
          <w:p w:rsidR="006A4447" w:rsidRPr="008B15E5" w:rsidRDefault="008B15E5" w:rsidP="008B15E5">
            <w:pPr>
              <w:pStyle w:val="ListParagraph"/>
              <w:numPr>
                <w:ilvl w:val="0"/>
                <w:numId w:val="16"/>
              </w:numPr>
              <w:ind w:left="380"/>
            </w:pPr>
            <w:r w:rsidRPr="008B15E5">
              <w:t xml:space="preserve">The tenure of the loan from the HMFF to the borrower shall be </w:t>
            </w:r>
            <w:r>
              <w:t xml:space="preserve">of up to </w:t>
            </w:r>
            <w:r w:rsidRPr="008B15E5">
              <w:t xml:space="preserve">15 </w:t>
            </w:r>
            <w:r w:rsidR="006A4447" w:rsidRPr="008B15E5">
              <w:t>years</w:t>
            </w:r>
            <w:r w:rsidR="006A4447" w:rsidRPr="002E6CA7">
              <w:rPr>
                <w:lang w:val="en-GB"/>
              </w:rPr>
              <w:t>.</w:t>
            </w:r>
          </w:p>
          <w:p w:rsidR="008B15E5" w:rsidRPr="002E6CA7" w:rsidRDefault="008B15E5" w:rsidP="008B15E5">
            <w:pPr>
              <w:pStyle w:val="ListParagraph"/>
              <w:ind w:left="380"/>
            </w:pPr>
          </w:p>
        </w:tc>
      </w:tr>
    </w:tbl>
    <w:p w:rsidR="00FC36C2" w:rsidRPr="002E6CA7" w:rsidRDefault="00FC36C2" w:rsidP="00FC36C2">
      <w:pPr>
        <w:rPr>
          <w:vanish/>
          <w:sz w:val="24"/>
          <w:szCs w:val="24"/>
        </w:rPr>
      </w:pPr>
    </w:p>
    <w:tbl>
      <w:tblPr>
        <w:tblW w:w="5364" w:type="pct"/>
        <w:tblLayout w:type="fixed"/>
        <w:tblLook w:val="0000" w:firstRow="0" w:lastRow="0" w:firstColumn="0" w:lastColumn="0" w:noHBand="0" w:noVBand="0"/>
      </w:tblPr>
      <w:tblGrid>
        <w:gridCol w:w="2318"/>
        <w:gridCol w:w="8230"/>
      </w:tblGrid>
      <w:tr w:rsidR="004E4473" w:rsidRPr="002E6CA7" w:rsidTr="00A21F0E">
        <w:tc>
          <w:tcPr>
            <w:tcW w:w="1099" w:type="pct"/>
          </w:tcPr>
          <w:p w:rsidR="004E4473" w:rsidRPr="00C64883" w:rsidRDefault="004E4473" w:rsidP="002F1402">
            <w:pPr>
              <w:rPr>
                <w:b/>
                <w:sz w:val="24"/>
                <w:szCs w:val="24"/>
              </w:rPr>
            </w:pPr>
            <w:r w:rsidRPr="00C64883">
              <w:rPr>
                <w:b/>
                <w:sz w:val="24"/>
                <w:szCs w:val="24"/>
              </w:rPr>
              <w:t>Submission report</w:t>
            </w:r>
            <w:r w:rsidR="002F1402" w:rsidRPr="00C64883">
              <w:rPr>
                <w:b/>
                <w:sz w:val="24"/>
                <w:szCs w:val="24"/>
              </w:rPr>
              <w:t>s</w:t>
            </w:r>
          </w:p>
        </w:tc>
        <w:tc>
          <w:tcPr>
            <w:tcW w:w="3901" w:type="pct"/>
          </w:tcPr>
          <w:p w:rsidR="00461C99" w:rsidRPr="002F434A" w:rsidRDefault="007F2A81" w:rsidP="00C64883">
            <w:pPr>
              <w:pStyle w:val="ListParagraph"/>
              <w:numPr>
                <w:ilvl w:val="0"/>
                <w:numId w:val="16"/>
              </w:numPr>
              <w:ind w:left="470" w:hanging="450"/>
              <w:rPr>
                <w:rFonts w:eastAsia="SimSun"/>
                <w:noProof/>
              </w:rPr>
            </w:pPr>
            <w:r w:rsidRPr="002F434A">
              <w:t>The</w:t>
            </w:r>
            <w:r w:rsidRPr="002F434A">
              <w:rPr>
                <w:bCs/>
              </w:rPr>
              <w:t xml:space="preserve"> borrower</w:t>
            </w:r>
            <w:r w:rsidR="004E4473" w:rsidRPr="002F434A">
              <w:t xml:space="preserve"> shall submit to the </w:t>
            </w:r>
            <w:r w:rsidR="00AD56E4">
              <w:t>Bank of Tanzania</w:t>
            </w:r>
            <w:r w:rsidR="00AD56E4" w:rsidRPr="002F434A">
              <w:t xml:space="preserve"> </w:t>
            </w:r>
            <w:r w:rsidR="008D1EDE" w:rsidRPr="002F434A">
              <w:t>monthly</w:t>
            </w:r>
            <w:r w:rsidR="004E4473" w:rsidRPr="002F434A">
              <w:t xml:space="preserve"> reports on classification and provisioning of credit accommodations and other risk assets including contingent accounts not later than the 15</w:t>
            </w:r>
            <w:r w:rsidR="004E4473" w:rsidRPr="002F434A">
              <w:rPr>
                <w:vertAlign w:val="superscript"/>
              </w:rPr>
              <w:t>th</w:t>
            </w:r>
            <w:r w:rsidR="004E4473" w:rsidRPr="002F434A">
              <w:t xml:space="preserve"> day following the end of the reporting quarter.</w:t>
            </w:r>
            <w:r w:rsidR="00461C99" w:rsidRPr="002F434A">
              <w:rPr>
                <w:rFonts w:eastAsia="SimSun"/>
                <w:noProof/>
              </w:rPr>
              <w:t xml:space="preserve"> </w:t>
            </w:r>
            <w:r w:rsidR="002F434A" w:rsidRPr="002F434A">
              <w:rPr>
                <w:rFonts w:eastAsia="SimSun"/>
                <w:noProof/>
              </w:rPr>
              <w:t xml:space="preserve">In addition, </w:t>
            </w:r>
            <w:r w:rsidR="002F434A">
              <w:rPr>
                <w:rFonts w:eastAsia="SimSun"/>
                <w:bCs/>
                <w:noProof/>
              </w:rPr>
              <w:t>t</w:t>
            </w:r>
            <w:r w:rsidR="002F1402" w:rsidRPr="002F434A">
              <w:rPr>
                <w:rFonts w:eastAsia="SimSun"/>
                <w:bCs/>
                <w:noProof/>
              </w:rPr>
              <w:t>he borrower</w:t>
            </w:r>
            <w:r w:rsidR="002F1402" w:rsidRPr="002F434A">
              <w:rPr>
                <w:rFonts w:eastAsia="SimSun"/>
                <w:noProof/>
              </w:rPr>
              <w:t xml:space="preserve"> shall submit to the </w:t>
            </w:r>
            <w:r w:rsidR="00AD56E4">
              <w:rPr>
                <w:rFonts w:eastAsia="SimSun"/>
                <w:noProof/>
              </w:rPr>
              <w:t xml:space="preserve">Bank of Tanzania </w:t>
            </w:r>
            <w:r w:rsidR="002F1402" w:rsidRPr="002F434A">
              <w:rPr>
                <w:rFonts w:eastAsia="SimSun"/>
                <w:noProof/>
              </w:rPr>
              <w:t>quarterly reports on:</w:t>
            </w:r>
          </w:p>
          <w:p w:rsidR="00461C99" w:rsidRPr="002F434A" w:rsidRDefault="00461C99" w:rsidP="002F434A">
            <w:pPr>
              <w:numPr>
                <w:ilvl w:val="0"/>
                <w:numId w:val="20"/>
              </w:numPr>
              <w:ind w:hanging="159"/>
              <w:rPr>
                <w:sz w:val="24"/>
                <w:szCs w:val="24"/>
                <w:lang w:val="en-GB"/>
              </w:rPr>
            </w:pPr>
            <w:r w:rsidRPr="002F434A">
              <w:rPr>
                <w:sz w:val="24"/>
                <w:szCs w:val="24"/>
                <w:lang w:val="en-GB"/>
              </w:rPr>
              <w:t xml:space="preserve">Number of active clients to determine the outreach. </w:t>
            </w:r>
          </w:p>
          <w:p w:rsidR="00461C99" w:rsidRPr="002F434A" w:rsidRDefault="00461C99" w:rsidP="002F434A">
            <w:pPr>
              <w:numPr>
                <w:ilvl w:val="0"/>
                <w:numId w:val="20"/>
              </w:numPr>
              <w:ind w:left="1640"/>
              <w:rPr>
                <w:sz w:val="24"/>
                <w:szCs w:val="24"/>
                <w:lang w:val="en-GB"/>
              </w:rPr>
            </w:pPr>
            <w:r w:rsidRPr="002F434A">
              <w:rPr>
                <w:sz w:val="24"/>
                <w:szCs w:val="24"/>
                <w:lang w:val="en-GB"/>
              </w:rPr>
              <w:t>Average</w:t>
            </w:r>
            <w:r w:rsidR="002F1402" w:rsidRPr="002F434A">
              <w:rPr>
                <w:sz w:val="24"/>
                <w:szCs w:val="24"/>
                <w:lang w:val="en-GB"/>
              </w:rPr>
              <w:t xml:space="preserve"> outstanding balance per client</w:t>
            </w:r>
          </w:p>
          <w:p w:rsidR="002F1402" w:rsidRPr="002F434A" w:rsidRDefault="002F1402" w:rsidP="002F434A">
            <w:pPr>
              <w:numPr>
                <w:ilvl w:val="0"/>
                <w:numId w:val="20"/>
              </w:numPr>
              <w:ind w:left="1640"/>
              <w:rPr>
                <w:sz w:val="24"/>
                <w:szCs w:val="24"/>
                <w:lang w:val="en-GB"/>
              </w:rPr>
            </w:pPr>
            <w:r w:rsidRPr="002F434A">
              <w:rPr>
                <w:sz w:val="24"/>
                <w:szCs w:val="24"/>
                <w:lang w:val="en-GB"/>
              </w:rPr>
              <w:t xml:space="preserve">Statements of Financial Position and </w:t>
            </w:r>
          </w:p>
          <w:p w:rsidR="004E4473" w:rsidRDefault="002F1402" w:rsidP="002F434A">
            <w:pPr>
              <w:numPr>
                <w:ilvl w:val="0"/>
                <w:numId w:val="20"/>
              </w:numPr>
              <w:ind w:left="1640"/>
              <w:rPr>
                <w:sz w:val="24"/>
                <w:szCs w:val="24"/>
              </w:rPr>
            </w:pPr>
            <w:r w:rsidRPr="002F434A">
              <w:rPr>
                <w:sz w:val="24"/>
                <w:szCs w:val="24"/>
                <w:lang w:val="en-GB"/>
              </w:rPr>
              <w:t>Statements</w:t>
            </w:r>
            <w:r w:rsidRPr="002E6CA7">
              <w:rPr>
                <w:sz w:val="24"/>
                <w:szCs w:val="24"/>
              </w:rPr>
              <w:t xml:space="preserve"> of comprehensive income.</w:t>
            </w:r>
          </w:p>
          <w:p w:rsidR="008B15E5" w:rsidRPr="002E6CA7" w:rsidRDefault="008B15E5" w:rsidP="008B15E5">
            <w:pPr>
              <w:ind w:left="1640"/>
              <w:rPr>
                <w:sz w:val="24"/>
                <w:szCs w:val="24"/>
              </w:rPr>
            </w:pPr>
          </w:p>
        </w:tc>
      </w:tr>
      <w:tr w:rsidR="00503C88" w:rsidRPr="002E6CA7" w:rsidTr="00503C88">
        <w:tc>
          <w:tcPr>
            <w:tcW w:w="1099" w:type="pct"/>
          </w:tcPr>
          <w:p w:rsidR="00503C88" w:rsidRPr="00C64883" w:rsidRDefault="00503C88" w:rsidP="00D97CBA">
            <w:pPr>
              <w:rPr>
                <w:b/>
                <w:sz w:val="24"/>
                <w:szCs w:val="24"/>
              </w:rPr>
            </w:pPr>
            <w:r w:rsidRPr="00C64883">
              <w:rPr>
                <w:b/>
                <w:sz w:val="24"/>
                <w:szCs w:val="24"/>
              </w:rPr>
              <w:t>Miscellaneous conditions</w:t>
            </w:r>
          </w:p>
        </w:tc>
        <w:tc>
          <w:tcPr>
            <w:tcW w:w="3901" w:type="pct"/>
          </w:tcPr>
          <w:p w:rsidR="00503C88" w:rsidRPr="00503C88" w:rsidRDefault="00503C88" w:rsidP="00D97CBA">
            <w:pPr>
              <w:pStyle w:val="ListParagraph"/>
              <w:numPr>
                <w:ilvl w:val="0"/>
                <w:numId w:val="16"/>
              </w:numPr>
              <w:ind w:left="470" w:hanging="450"/>
            </w:pPr>
            <w:r w:rsidRPr="002F434A">
              <w:t>Borrowing</w:t>
            </w:r>
            <w:r w:rsidRPr="00503C88">
              <w:t xml:space="preserve"> institution:</w:t>
            </w:r>
          </w:p>
          <w:p w:rsidR="00503C88" w:rsidRPr="00503C88" w:rsidRDefault="00503C88" w:rsidP="00D97CBA">
            <w:pPr>
              <w:numPr>
                <w:ilvl w:val="0"/>
                <w:numId w:val="14"/>
              </w:numPr>
              <w:ind w:left="471" w:firstLine="0"/>
              <w:rPr>
                <w:sz w:val="24"/>
                <w:szCs w:val="24"/>
              </w:rPr>
            </w:pPr>
            <w:r w:rsidRPr="00503C88">
              <w:rPr>
                <w:sz w:val="24"/>
                <w:szCs w:val="24"/>
              </w:rPr>
              <w:t>must ensure that Home Buyers issued with Housing Microloans shall have title or residential license over the land on which the financed house is situated;</w:t>
            </w:r>
          </w:p>
          <w:p w:rsidR="00503C88" w:rsidRPr="00503C88" w:rsidRDefault="00503C88" w:rsidP="00D97CBA">
            <w:pPr>
              <w:numPr>
                <w:ilvl w:val="0"/>
                <w:numId w:val="14"/>
              </w:numPr>
              <w:ind w:left="471" w:firstLine="0"/>
              <w:rPr>
                <w:sz w:val="24"/>
                <w:szCs w:val="24"/>
              </w:rPr>
            </w:pPr>
            <w:r w:rsidRPr="00503C88">
              <w:rPr>
                <w:sz w:val="24"/>
                <w:szCs w:val="24"/>
              </w:rPr>
              <w:t>must ensure that Data proofing the Home Buyer’s identification and any other third parties that may act as finance guarantors; the Home Buyer’s financial status/position, income, creditworthiness and repayment ability are maintained</w:t>
            </w:r>
            <w:r w:rsidR="009A2557">
              <w:rPr>
                <w:sz w:val="24"/>
                <w:szCs w:val="24"/>
              </w:rPr>
              <w:t>;</w:t>
            </w:r>
          </w:p>
          <w:p w:rsidR="00503C88" w:rsidRPr="00503C88" w:rsidRDefault="00503C88" w:rsidP="00D97CBA">
            <w:pPr>
              <w:numPr>
                <w:ilvl w:val="0"/>
                <w:numId w:val="14"/>
              </w:numPr>
              <w:ind w:left="471" w:firstLine="0"/>
              <w:rPr>
                <w:sz w:val="24"/>
                <w:szCs w:val="24"/>
              </w:rPr>
            </w:pPr>
            <w:r w:rsidRPr="00503C88">
              <w:rPr>
                <w:sz w:val="24"/>
                <w:szCs w:val="24"/>
              </w:rPr>
              <w:t>shall include in the Housing Microloan agreement a clause by which the individual borrower approves that lender may pass any information related to the Housing Microloan related documents or copies of such documents to HMFF</w:t>
            </w:r>
            <w:r w:rsidR="009A2557">
              <w:rPr>
                <w:sz w:val="24"/>
                <w:szCs w:val="24"/>
              </w:rPr>
              <w:t>;</w:t>
            </w:r>
          </w:p>
          <w:p w:rsidR="00503C88" w:rsidRPr="00503C88" w:rsidRDefault="00503C88" w:rsidP="00D97CBA">
            <w:pPr>
              <w:numPr>
                <w:ilvl w:val="0"/>
                <w:numId w:val="14"/>
              </w:numPr>
              <w:ind w:left="471" w:firstLine="0"/>
              <w:rPr>
                <w:sz w:val="24"/>
                <w:szCs w:val="24"/>
              </w:rPr>
            </w:pPr>
            <w:r w:rsidRPr="00503C88">
              <w:rPr>
                <w:sz w:val="24"/>
                <w:szCs w:val="24"/>
              </w:rPr>
              <w:t>shall include in the Housing Microloan agreement a clause that authorizes HMFF to conduct physical inspection of the residential home being purchased, built, financed, extended, restored or finished, and other details submitted by the client</w:t>
            </w:r>
            <w:r w:rsidR="009A2557">
              <w:rPr>
                <w:sz w:val="24"/>
                <w:szCs w:val="24"/>
              </w:rPr>
              <w:t>;</w:t>
            </w:r>
          </w:p>
          <w:p w:rsidR="00503C88" w:rsidRPr="00503C88" w:rsidRDefault="00503C88" w:rsidP="00D97CBA">
            <w:pPr>
              <w:numPr>
                <w:ilvl w:val="0"/>
                <w:numId w:val="14"/>
              </w:numPr>
              <w:ind w:left="471" w:firstLine="0"/>
              <w:rPr>
                <w:sz w:val="24"/>
                <w:szCs w:val="24"/>
              </w:rPr>
            </w:pPr>
            <w:r w:rsidRPr="00503C88">
              <w:rPr>
                <w:sz w:val="24"/>
                <w:szCs w:val="24"/>
              </w:rPr>
              <w:t>is encouraged to partner with developers to ensure the funds are used to originate houses and for the targeted group</w:t>
            </w:r>
            <w:r w:rsidR="009A2557">
              <w:rPr>
                <w:sz w:val="24"/>
                <w:szCs w:val="24"/>
              </w:rPr>
              <w:t>;</w:t>
            </w:r>
          </w:p>
        </w:tc>
      </w:tr>
      <w:tr w:rsidR="002F1402" w:rsidRPr="002E6CA7" w:rsidTr="00A21F0E">
        <w:tc>
          <w:tcPr>
            <w:tcW w:w="1099" w:type="pct"/>
          </w:tcPr>
          <w:p w:rsidR="002F1402" w:rsidRPr="00C64883" w:rsidRDefault="002F1402" w:rsidP="002F1402">
            <w:pPr>
              <w:rPr>
                <w:b/>
                <w:sz w:val="24"/>
                <w:szCs w:val="24"/>
              </w:rPr>
            </w:pPr>
          </w:p>
        </w:tc>
        <w:tc>
          <w:tcPr>
            <w:tcW w:w="3901" w:type="pct"/>
          </w:tcPr>
          <w:p w:rsidR="00876CA0" w:rsidRPr="00876CA0" w:rsidRDefault="00876CA0" w:rsidP="009C3B6C">
            <w:pPr>
              <w:numPr>
                <w:ilvl w:val="0"/>
                <w:numId w:val="14"/>
              </w:numPr>
              <w:ind w:left="471" w:firstLine="0"/>
              <w:rPr>
                <w:bCs/>
                <w:sz w:val="24"/>
                <w:szCs w:val="24"/>
                <w:lang w:val="en-GB"/>
              </w:rPr>
            </w:pPr>
            <w:r>
              <w:rPr>
                <w:bCs/>
                <w:sz w:val="24"/>
                <w:szCs w:val="24"/>
                <w:lang w:val="en-GB"/>
              </w:rPr>
              <w:t xml:space="preserve"> </w:t>
            </w:r>
            <w:r w:rsidRPr="009C3B6C">
              <w:rPr>
                <w:sz w:val="24"/>
                <w:szCs w:val="24"/>
              </w:rPr>
              <w:t>Borrowing</w:t>
            </w:r>
            <w:r w:rsidRPr="00876CA0">
              <w:rPr>
                <w:bCs/>
                <w:sz w:val="24"/>
                <w:szCs w:val="24"/>
                <w:lang w:val="en-GB"/>
              </w:rPr>
              <w:t xml:space="preserve"> institutions are required to participate “safeguard workshop/training” organized by </w:t>
            </w:r>
            <w:r w:rsidR="009C3B6C">
              <w:rPr>
                <w:bCs/>
                <w:sz w:val="24"/>
                <w:szCs w:val="24"/>
                <w:lang w:val="en-GB"/>
              </w:rPr>
              <w:t>the Bank of Tanzania</w:t>
            </w:r>
            <w:r w:rsidRPr="00876CA0">
              <w:rPr>
                <w:bCs/>
                <w:sz w:val="24"/>
                <w:szCs w:val="24"/>
                <w:lang w:val="en-GB"/>
              </w:rPr>
              <w:t xml:space="preserve"> prior to disbursing the loan to the target group”</w:t>
            </w:r>
            <w:r w:rsidR="009C3B6C">
              <w:rPr>
                <w:bCs/>
                <w:sz w:val="24"/>
                <w:szCs w:val="24"/>
                <w:lang w:val="en-GB"/>
              </w:rPr>
              <w:t>.</w:t>
            </w:r>
          </w:p>
          <w:p w:rsidR="002F1402" w:rsidRPr="002E6CA7" w:rsidRDefault="002F1402" w:rsidP="00876CA0">
            <w:pPr>
              <w:ind w:left="471"/>
              <w:rPr>
                <w:bCs/>
                <w:sz w:val="24"/>
                <w:szCs w:val="24"/>
                <w:lang w:val="en-GB"/>
              </w:rPr>
            </w:pPr>
          </w:p>
        </w:tc>
      </w:tr>
    </w:tbl>
    <w:p w:rsidR="00FC36C2" w:rsidRPr="002E6CA7" w:rsidRDefault="00FC36C2" w:rsidP="00FC36C2">
      <w:pPr>
        <w:rPr>
          <w:vanish/>
          <w:sz w:val="24"/>
          <w:szCs w:val="24"/>
        </w:rPr>
      </w:pPr>
    </w:p>
    <w:p w:rsidR="00E07F8C" w:rsidRPr="002E6CA7" w:rsidRDefault="00E07F8C" w:rsidP="004F2119">
      <w:pPr>
        <w:spacing w:after="200" w:line="276" w:lineRule="auto"/>
        <w:rPr>
          <w:sz w:val="24"/>
          <w:szCs w:val="24"/>
        </w:rPr>
      </w:pPr>
    </w:p>
    <w:p w:rsidR="000C7C9D" w:rsidRPr="002E6CA7" w:rsidRDefault="009A5DCA" w:rsidP="00D92A43">
      <w:pPr>
        <w:ind w:left="1440" w:hanging="720"/>
        <w:jc w:val="center"/>
        <w:rPr>
          <w:sz w:val="24"/>
          <w:szCs w:val="24"/>
          <w:lang w:val="en-GB"/>
        </w:rPr>
      </w:pPr>
      <w:r w:rsidRPr="002E6CA7">
        <w:rPr>
          <w:sz w:val="24"/>
          <w:szCs w:val="24"/>
          <w:lang w:val="en-GB"/>
        </w:rPr>
        <w:br w:type="page"/>
      </w:r>
    </w:p>
    <w:p w:rsidR="000C7C9D" w:rsidRPr="002E6CA7" w:rsidRDefault="000C7C9D" w:rsidP="00D92A43">
      <w:pPr>
        <w:ind w:left="1440" w:hanging="720"/>
        <w:jc w:val="center"/>
        <w:rPr>
          <w:sz w:val="24"/>
          <w:szCs w:val="24"/>
          <w:lang w:val="en-GB"/>
        </w:rPr>
      </w:pPr>
    </w:p>
    <w:p w:rsidR="001A7021" w:rsidRPr="002E6CA7" w:rsidRDefault="001A7021" w:rsidP="001A7021">
      <w:pPr>
        <w:pStyle w:val="Header"/>
        <w:jc w:val="center"/>
        <w:rPr>
          <w:b/>
          <w:sz w:val="24"/>
          <w:szCs w:val="24"/>
          <w:lang w:val="en-GB"/>
        </w:rPr>
      </w:pPr>
      <w:r w:rsidRPr="002E6CA7">
        <w:rPr>
          <w:b/>
          <w:sz w:val="24"/>
          <w:szCs w:val="24"/>
          <w:lang w:val="en-GB"/>
        </w:rPr>
        <w:t>Appendix 1: Application for a Loan</w:t>
      </w:r>
    </w:p>
    <w:p w:rsidR="001A7021" w:rsidRPr="002E6CA7" w:rsidRDefault="001A7021" w:rsidP="00D92A43">
      <w:pPr>
        <w:pStyle w:val="Header"/>
        <w:rPr>
          <w:sz w:val="24"/>
          <w:szCs w:val="24"/>
          <w:lang w:val="en-GB"/>
        </w:rPr>
      </w:pPr>
    </w:p>
    <w:p w:rsidR="00D92A43" w:rsidRPr="002E6CA7" w:rsidRDefault="00726873" w:rsidP="00D92A43">
      <w:pPr>
        <w:pStyle w:val="Header"/>
        <w:rPr>
          <w:sz w:val="24"/>
          <w:szCs w:val="24"/>
          <w:lang w:val="en-GB"/>
        </w:rPr>
      </w:pPr>
      <w:r w:rsidRPr="002E6CA7">
        <w:rPr>
          <w:sz w:val="24"/>
          <w:szCs w:val="24"/>
          <w:lang w:val="en-GB"/>
        </w:rPr>
        <w:t>The Governor</w:t>
      </w:r>
    </w:p>
    <w:p w:rsidR="00D92A43" w:rsidRPr="002E6CA7" w:rsidRDefault="00726873" w:rsidP="00D92A43">
      <w:pPr>
        <w:pStyle w:val="Header"/>
        <w:rPr>
          <w:sz w:val="24"/>
          <w:szCs w:val="24"/>
          <w:lang w:val="en-GB"/>
        </w:rPr>
      </w:pPr>
      <w:r w:rsidRPr="002E6CA7">
        <w:rPr>
          <w:sz w:val="24"/>
          <w:szCs w:val="24"/>
          <w:lang w:val="en-GB"/>
        </w:rPr>
        <w:t>Bank of Tanzania</w:t>
      </w:r>
    </w:p>
    <w:p w:rsidR="00D92A43" w:rsidRPr="002E6CA7" w:rsidRDefault="00726873" w:rsidP="00D92A43">
      <w:pPr>
        <w:pStyle w:val="Header"/>
        <w:rPr>
          <w:sz w:val="24"/>
          <w:szCs w:val="24"/>
        </w:rPr>
      </w:pPr>
      <w:r w:rsidRPr="002E6CA7">
        <w:rPr>
          <w:sz w:val="24"/>
          <w:szCs w:val="24"/>
        </w:rPr>
        <w:t>P.O. Box 2939</w:t>
      </w:r>
    </w:p>
    <w:p w:rsidR="00D92A43" w:rsidRPr="002E6CA7" w:rsidRDefault="00726873" w:rsidP="00D92A43">
      <w:pPr>
        <w:pStyle w:val="Header"/>
        <w:rPr>
          <w:sz w:val="24"/>
          <w:szCs w:val="24"/>
        </w:rPr>
      </w:pPr>
      <w:r w:rsidRPr="002E6CA7">
        <w:rPr>
          <w:sz w:val="24"/>
          <w:szCs w:val="24"/>
        </w:rPr>
        <w:t>Dar es Salaam</w:t>
      </w:r>
    </w:p>
    <w:p w:rsidR="00D92A43" w:rsidRPr="002E6CA7" w:rsidRDefault="00726873" w:rsidP="00D92A43">
      <w:pPr>
        <w:pStyle w:val="Header"/>
        <w:rPr>
          <w:b/>
          <w:bCs/>
          <w:sz w:val="24"/>
          <w:szCs w:val="24"/>
          <w:lang w:val="en-GB"/>
        </w:rPr>
      </w:pPr>
      <w:r w:rsidRPr="002E6CA7">
        <w:rPr>
          <w:b/>
          <w:bCs/>
          <w:sz w:val="24"/>
          <w:szCs w:val="24"/>
          <w:lang w:val="en-GB"/>
        </w:rPr>
        <w:t>TANZANIA</w:t>
      </w:r>
    </w:p>
    <w:p w:rsidR="00D92A43" w:rsidRPr="002E6CA7" w:rsidRDefault="00D92A43" w:rsidP="00D92A43">
      <w:pPr>
        <w:pStyle w:val="Header"/>
        <w:rPr>
          <w:b/>
          <w:bCs/>
          <w:sz w:val="24"/>
          <w:szCs w:val="24"/>
          <w:lang w:val="en-GB"/>
        </w:rPr>
      </w:pPr>
    </w:p>
    <w:p w:rsidR="00D92A43" w:rsidRPr="002E6CA7" w:rsidRDefault="00D92A43" w:rsidP="00D92A43">
      <w:pPr>
        <w:pStyle w:val="Header"/>
        <w:rPr>
          <w:b/>
          <w:bCs/>
          <w:sz w:val="24"/>
          <w:szCs w:val="24"/>
          <w:lang w:val="en-GB"/>
        </w:rPr>
      </w:pPr>
    </w:p>
    <w:p w:rsidR="00D92A43" w:rsidRPr="002E6CA7" w:rsidRDefault="009F616F" w:rsidP="000C7C9D">
      <w:pPr>
        <w:pStyle w:val="Header"/>
        <w:rPr>
          <w:b/>
          <w:sz w:val="24"/>
          <w:szCs w:val="24"/>
          <w:lang w:val="en-GB"/>
        </w:rPr>
      </w:pPr>
      <w:r w:rsidRPr="002E6CA7">
        <w:rPr>
          <w:b/>
          <w:sz w:val="24"/>
          <w:szCs w:val="24"/>
          <w:lang w:val="en-GB"/>
        </w:rPr>
        <w:t xml:space="preserve">Re: </w:t>
      </w:r>
      <w:r w:rsidR="00726873" w:rsidRPr="002E6CA7">
        <w:rPr>
          <w:b/>
          <w:sz w:val="24"/>
          <w:szCs w:val="24"/>
          <w:lang w:val="en-GB"/>
        </w:rPr>
        <w:t xml:space="preserve">Application for a </w:t>
      </w:r>
      <w:r w:rsidR="001A7021" w:rsidRPr="002E6CA7">
        <w:rPr>
          <w:b/>
          <w:sz w:val="24"/>
          <w:szCs w:val="24"/>
          <w:lang w:val="en-GB"/>
        </w:rPr>
        <w:t>Loan under the HMFF</w:t>
      </w:r>
      <w:r w:rsidR="00726873" w:rsidRPr="002E6CA7">
        <w:rPr>
          <w:b/>
          <w:sz w:val="24"/>
          <w:szCs w:val="24"/>
          <w:lang w:val="en-GB"/>
        </w:rPr>
        <w:t xml:space="preserve"> </w:t>
      </w:r>
    </w:p>
    <w:p w:rsidR="00D92A43" w:rsidRPr="002E6CA7" w:rsidRDefault="00D92A43" w:rsidP="00D92A43">
      <w:pPr>
        <w:pStyle w:val="Header"/>
        <w:rPr>
          <w:sz w:val="24"/>
          <w:szCs w:val="24"/>
          <w:lang w:val="en-GB"/>
        </w:rPr>
      </w:pPr>
    </w:p>
    <w:p w:rsidR="00D92A43" w:rsidRPr="002E6CA7" w:rsidRDefault="009F616F" w:rsidP="00D92A43">
      <w:pPr>
        <w:pStyle w:val="Header"/>
        <w:rPr>
          <w:sz w:val="24"/>
          <w:szCs w:val="24"/>
          <w:lang w:val="en-GB"/>
        </w:rPr>
      </w:pPr>
      <w:r w:rsidRPr="002E6CA7">
        <w:rPr>
          <w:sz w:val="24"/>
          <w:szCs w:val="24"/>
          <w:lang w:val="en-GB"/>
        </w:rPr>
        <w:t xml:space="preserve">Dear </w:t>
      </w:r>
      <w:r w:rsidR="00726873" w:rsidRPr="002E6CA7">
        <w:rPr>
          <w:sz w:val="24"/>
          <w:szCs w:val="24"/>
          <w:lang w:val="en-GB"/>
        </w:rPr>
        <w:t>Sir,</w:t>
      </w:r>
    </w:p>
    <w:p w:rsidR="00D92A43" w:rsidRPr="002E6CA7" w:rsidRDefault="00D92A43" w:rsidP="00D92A43">
      <w:pPr>
        <w:pStyle w:val="Header"/>
        <w:rPr>
          <w:sz w:val="24"/>
          <w:szCs w:val="24"/>
          <w:lang w:val="en-GB"/>
        </w:rPr>
      </w:pPr>
    </w:p>
    <w:p w:rsidR="00D92A43" w:rsidRPr="002E6CA7" w:rsidRDefault="00726873" w:rsidP="00D92A43">
      <w:pPr>
        <w:pStyle w:val="Header"/>
        <w:rPr>
          <w:sz w:val="24"/>
          <w:szCs w:val="24"/>
          <w:lang w:val="en-GB"/>
        </w:rPr>
      </w:pPr>
      <w:r w:rsidRPr="002E6CA7">
        <w:rPr>
          <w:sz w:val="24"/>
          <w:szCs w:val="24"/>
          <w:lang w:val="en-GB"/>
        </w:rPr>
        <w:t xml:space="preserve">We, the undersigned, hereby apply for a </w:t>
      </w:r>
      <w:r w:rsidR="001A7021" w:rsidRPr="002E6CA7">
        <w:rPr>
          <w:sz w:val="24"/>
          <w:szCs w:val="24"/>
          <w:lang w:val="en-GB"/>
        </w:rPr>
        <w:t xml:space="preserve">loan </w:t>
      </w:r>
      <w:r w:rsidR="009F616F" w:rsidRPr="002E6CA7">
        <w:rPr>
          <w:sz w:val="24"/>
          <w:szCs w:val="24"/>
          <w:lang w:val="en-GB"/>
        </w:rPr>
        <w:t>of TZS ______________________</w:t>
      </w:r>
      <w:r w:rsidR="001A7021" w:rsidRPr="002E6CA7">
        <w:rPr>
          <w:sz w:val="24"/>
          <w:szCs w:val="24"/>
          <w:lang w:val="en-GB"/>
        </w:rPr>
        <w:t>for our ongoing/new housing microfinance business activities. Our Institution is known as ______</w:t>
      </w:r>
      <w:r w:rsidRPr="002E6CA7">
        <w:rPr>
          <w:sz w:val="24"/>
          <w:szCs w:val="24"/>
          <w:lang w:val="en-GB"/>
        </w:rPr>
        <w:t>___________________________</w:t>
      </w:r>
      <w:r w:rsidR="001A7021" w:rsidRPr="002E6CA7">
        <w:rPr>
          <w:sz w:val="24"/>
          <w:szCs w:val="24"/>
          <w:lang w:val="en-GB"/>
        </w:rPr>
        <w:t xml:space="preserve"> </w:t>
      </w:r>
      <w:r w:rsidRPr="002E6CA7">
        <w:rPr>
          <w:sz w:val="24"/>
          <w:szCs w:val="24"/>
          <w:lang w:val="en-GB"/>
        </w:rPr>
        <w:t>with principal place of business at ____</w:t>
      </w:r>
      <w:r w:rsidR="009F616F" w:rsidRPr="002E6CA7">
        <w:rPr>
          <w:sz w:val="24"/>
          <w:szCs w:val="24"/>
          <w:lang w:val="en-GB"/>
        </w:rPr>
        <w:t>_____________________________</w:t>
      </w:r>
    </w:p>
    <w:p w:rsidR="00D92A43" w:rsidRPr="002E6CA7" w:rsidRDefault="00D92A43" w:rsidP="00D92A43">
      <w:pPr>
        <w:pStyle w:val="Header"/>
        <w:rPr>
          <w:sz w:val="24"/>
          <w:szCs w:val="24"/>
          <w:lang w:val="en-GB"/>
        </w:rPr>
      </w:pPr>
    </w:p>
    <w:p w:rsidR="009F616F" w:rsidRPr="002E6CA7" w:rsidRDefault="00726873" w:rsidP="00D92A43">
      <w:pPr>
        <w:pStyle w:val="Header"/>
        <w:rPr>
          <w:sz w:val="24"/>
          <w:szCs w:val="24"/>
          <w:lang w:val="en-GB"/>
        </w:rPr>
      </w:pPr>
      <w:r w:rsidRPr="002E6CA7">
        <w:rPr>
          <w:sz w:val="24"/>
          <w:szCs w:val="24"/>
          <w:lang w:val="en-GB"/>
        </w:rPr>
        <w:t xml:space="preserve">The institution </w:t>
      </w:r>
      <w:r w:rsidR="001A7021" w:rsidRPr="002E6CA7">
        <w:rPr>
          <w:sz w:val="24"/>
          <w:szCs w:val="24"/>
          <w:lang w:val="en-GB"/>
        </w:rPr>
        <w:t xml:space="preserve">has </w:t>
      </w:r>
      <w:r w:rsidRPr="002E6CA7">
        <w:rPr>
          <w:sz w:val="24"/>
          <w:szCs w:val="24"/>
          <w:lang w:val="en-GB"/>
        </w:rPr>
        <w:t>an authorized share capital of ______________ shillings and paid up capital of _______________ shillings</w:t>
      </w:r>
      <w:r w:rsidR="009F616F" w:rsidRPr="002E6CA7">
        <w:rPr>
          <w:sz w:val="24"/>
          <w:szCs w:val="24"/>
          <w:lang w:val="en-GB"/>
        </w:rPr>
        <w:t>.</w:t>
      </w:r>
    </w:p>
    <w:p w:rsidR="00D92A43" w:rsidRPr="002E6CA7" w:rsidRDefault="00D92A43" w:rsidP="00D92A43">
      <w:pPr>
        <w:rPr>
          <w:sz w:val="24"/>
          <w:szCs w:val="24"/>
          <w:lang w:val="en-GB"/>
        </w:rPr>
      </w:pPr>
    </w:p>
    <w:p w:rsidR="00D92A43" w:rsidRPr="002E6CA7" w:rsidRDefault="00726873" w:rsidP="00D92A43">
      <w:pPr>
        <w:rPr>
          <w:sz w:val="24"/>
          <w:szCs w:val="24"/>
          <w:lang w:val="en-GB"/>
        </w:rPr>
      </w:pPr>
      <w:r w:rsidRPr="002E6CA7">
        <w:rPr>
          <w:sz w:val="24"/>
          <w:szCs w:val="24"/>
          <w:lang w:val="en-GB"/>
        </w:rPr>
        <w:t>In support of this application, we submit herewith the documents listed in the accompanying checklist.  We certify the correctness of all the information indicated in such documents to the best of our knowledge and belief.</w:t>
      </w:r>
    </w:p>
    <w:p w:rsidR="00D92A43" w:rsidRPr="002E6CA7" w:rsidRDefault="00D92A43" w:rsidP="00D92A43">
      <w:pPr>
        <w:rPr>
          <w:sz w:val="24"/>
          <w:szCs w:val="24"/>
          <w:lang w:val="en-GB"/>
        </w:rPr>
      </w:pPr>
    </w:p>
    <w:p w:rsidR="00D92A43" w:rsidRPr="002E6CA7" w:rsidRDefault="00726873" w:rsidP="00D92A43">
      <w:pPr>
        <w:rPr>
          <w:sz w:val="24"/>
          <w:szCs w:val="24"/>
          <w:lang w:val="en-GB"/>
        </w:rPr>
      </w:pPr>
      <w:r w:rsidRPr="002E6CA7">
        <w:rPr>
          <w:sz w:val="24"/>
          <w:szCs w:val="24"/>
          <w:lang w:val="en-GB"/>
        </w:rPr>
        <w:t xml:space="preserve">We hereby authorize the </w:t>
      </w:r>
      <w:r w:rsidR="009F616F" w:rsidRPr="002E6CA7">
        <w:rPr>
          <w:sz w:val="24"/>
          <w:szCs w:val="24"/>
          <w:lang w:val="en-GB"/>
        </w:rPr>
        <w:t>HMFF</w:t>
      </w:r>
      <w:r w:rsidRPr="002E6CA7">
        <w:rPr>
          <w:sz w:val="24"/>
          <w:szCs w:val="24"/>
          <w:lang w:val="en-GB"/>
        </w:rPr>
        <w:t xml:space="preserve"> and any of its authorized agents or staff members to make an enquiry or obtain any information from any source for the purpose of determining the correctness of all the representations made in connection with this application or of assessing its merits.</w:t>
      </w:r>
    </w:p>
    <w:p w:rsidR="00D92A43" w:rsidRPr="002E6CA7" w:rsidRDefault="00D92A43" w:rsidP="00D92A43">
      <w:pPr>
        <w:rPr>
          <w:sz w:val="24"/>
          <w:szCs w:val="24"/>
          <w:lang w:val="en-GB"/>
        </w:rPr>
      </w:pPr>
    </w:p>
    <w:p w:rsidR="00D92A43" w:rsidRPr="002E6CA7" w:rsidRDefault="00D92A43" w:rsidP="00D92A43">
      <w:pPr>
        <w:rPr>
          <w:sz w:val="24"/>
          <w:szCs w:val="24"/>
          <w:lang w:val="en-GB"/>
        </w:rPr>
      </w:pPr>
    </w:p>
    <w:p w:rsidR="00D92A43" w:rsidRPr="002E6CA7" w:rsidRDefault="00726873" w:rsidP="006014D3">
      <w:pPr>
        <w:rPr>
          <w:sz w:val="24"/>
          <w:szCs w:val="24"/>
          <w:lang w:val="en-GB"/>
        </w:rPr>
      </w:pPr>
      <w:r w:rsidRPr="002E6CA7">
        <w:rPr>
          <w:sz w:val="24"/>
          <w:szCs w:val="24"/>
          <w:lang w:val="en-GB"/>
        </w:rPr>
        <w:t>Yours faithfully,</w:t>
      </w:r>
    </w:p>
    <w:p w:rsidR="00D92A43" w:rsidRPr="002E6CA7" w:rsidRDefault="00D92A43" w:rsidP="00D92A43">
      <w:pPr>
        <w:rPr>
          <w:sz w:val="24"/>
          <w:szCs w:val="24"/>
          <w:lang w:val="en-GB"/>
        </w:rPr>
      </w:pPr>
    </w:p>
    <w:p w:rsidR="00D92A43" w:rsidRPr="002E6CA7" w:rsidRDefault="00D92A43" w:rsidP="00D92A43">
      <w:pPr>
        <w:rPr>
          <w:sz w:val="24"/>
          <w:szCs w:val="24"/>
          <w:lang w:val="en-GB"/>
        </w:rPr>
      </w:pPr>
    </w:p>
    <w:p w:rsidR="009F616F" w:rsidRPr="002E6CA7" w:rsidRDefault="009F616F" w:rsidP="00D92A43">
      <w:pPr>
        <w:rPr>
          <w:sz w:val="24"/>
          <w:szCs w:val="24"/>
          <w:lang w:val="en-GB"/>
        </w:rPr>
      </w:pPr>
    </w:p>
    <w:p w:rsidR="009F616F" w:rsidRPr="002E6CA7" w:rsidRDefault="009F616F" w:rsidP="00D92A43">
      <w:pPr>
        <w:rPr>
          <w:sz w:val="24"/>
          <w:szCs w:val="24"/>
          <w:lang w:val="en-GB"/>
        </w:rPr>
      </w:pPr>
      <w:r w:rsidRPr="002E6CA7">
        <w:rPr>
          <w:sz w:val="24"/>
          <w:szCs w:val="24"/>
          <w:lang w:val="en-GB"/>
        </w:rPr>
        <w:t>_______________</w:t>
      </w:r>
    </w:p>
    <w:p w:rsidR="005A5F51" w:rsidRPr="002E6CA7" w:rsidRDefault="005A5F51" w:rsidP="00D92A43">
      <w:pPr>
        <w:rPr>
          <w:sz w:val="24"/>
          <w:szCs w:val="24"/>
          <w:lang w:val="en-GB"/>
        </w:rPr>
      </w:pPr>
    </w:p>
    <w:p w:rsidR="005A5F51" w:rsidRPr="002E6CA7" w:rsidRDefault="00B914EB" w:rsidP="00D92A43">
      <w:pPr>
        <w:rPr>
          <w:sz w:val="24"/>
          <w:szCs w:val="24"/>
          <w:lang w:val="en-GB"/>
        </w:rPr>
      </w:pPr>
      <w:r w:rsidRPr="002E6CA7">
        <w:rPr>
          <w:sz w:val="24"/>
          <w:szCs w:val="24"/>
          <w:lang w:val="en-GB"/>
        </w:rPr>
        <w:br w:type="page"/>
      </w:r>
    </w:p>
    <w:p w:rsidR="00D92A43" w:rsidRPr="002E6CA7" w:rsidRDefault="00D92A43" w:rsidP="00D92A43">
      <w:pPr>
        <w:rPr>
          <w:sz w:val="24"/>
          <w:szCs w:val="24"/>
          <w:lang w:val="en-GB"/>
        </w:rPr>
      </w:pPr>
    </w:p>
    <w:p w:rsidR="00BF39E6" w:rsidRPr="002E6CA7" w:rsidRDefault="00B914EB" w:rsidP="00BF39E6">
      <w:pPr>
        <w:rPr>
          <w:b/>
          <w:sz w:val="24"/>
          <w:szCs w:val="24"/>
          <w:lang w:val="en-GB"/>
        </w:rPr>
      </w:pPr>
      <w:r w:rsidRPr="002E6CA7">
        <w:rPr>
          <w:b/>
          <w:sz w:val="24"/>
          <w:szCs w:val="24"/>
          <w:lang w:val="en-GB"/>
        </w:rPr>
        <w:t xml:space="preserve">Appendix 2: </w:t>
      </w:r>
      <w:r w:rsidR="00BF39E6" w:rsidRPr="002E6CA7">
        <w:rPr>
          <w:b/>
          <w:sz w:val="24"/>
          <w:szCs w:val="24"/>
          <w:lang w:val="en-GB"/>
        </w:rPr>
        <w:t>Checklist of Documents</w:t>
      </w:r>
    </w:p>
    <w:p w:rsidR="00BF39E6" w:rsidRPr="002E6CA7" w:rsidRDefault="00BF39E6" w:rsidP="00BF39E6">
      <w:pPr>
        <w:rPr>
          <w:sz w:val="24"/>
          <w:szCs w:val="24"/>
          <w:lang w:val="en-GB"/>
        </w:rPr>
      </w:pPr>
    </w:p>
    <w:p w:rsidR="00BF39E6" w:rsidRPr="002E6CA7" w:rsidRDefault="00BF39E6" w:rsidP="0059600B">
      <w:pPr>
        <w:numPr>
          <w:ilvl w:val="0"/>
          <w:numId w:val="4"/>
        </w:numPr>
        <w:tabs>
          <w:tab w:val="clear" w:pos="720"/>
          <w:tab w:val="num" w:pos="360"/>
        </w:tabs>
        <w:ind w:left="360" w:hanging="360"/>
        <w:rPr>
          <w:sz w:val="24"/>
          <w:szCs w:val="24"/>
          <w:lang w:val="en-GB"/>
        </w:rPr>
      </w:pPr>
      <w:r w:rsidRPr="002E6CA7">
        <w:rPr>
          <w:sz w:val="24"/>
          <w:szCs w:val="24"/>
          <w:lang w:val="en-GB"/>
        </w:rPr>
        <w:t>Letter of application in the prescribed form.</w:t>
      </w:r>
    </w:p>
    <w:p w:rsidR="00BF39E6" w:rsidRPr="002E6CA7" w:rsidRDefault="00BF39E6" w:rsidP="0059600B">
      <w:pPr>
        <w:numPr>
          <w:ilvl w:val="0"/>
          <w:numId w:val="4"/>
        </w:numPr>
        <w:tabs>
          <w:tab w:val="clear" w:pos="720"/>
          <w:tab w:val="num" w:pos="360"/>
        </w:tabs>
        <w:rPr>
          <w:sz w:val="24"/>
          <w:szCs w:val="24"/>
          <w:lang w:val="en-GB"/>
        </w:rPr>
      </w:pPr>
      <w:r w:rsidRPr="002E6CA7">
        <w:rPr>
          <w:sz w:val="24"/>
          <w:szCs w:val="24"/>
          <w:lang w:val="en-GB"/>
        </w:rPr>
        <w:t>Authenticated legal documents or board resolution authorizing the signatory.</w:t>
      </w:r>
    </w:p>
    <w:p w:rsidR="00BF39E6" w:rsidRPr="002E6CA7" w:rsidRDefault="00BF39E6" w:rsidP="0059600B">
      <w:pPr>
        <w:numPr>
          <w:ilvl w:val="0"/>
          <w:numId w:val="4"/>
        </w:numPr>
        <w:tabs>
          <w:tab w:val="clear" w:pos="720"/>
          <w:tab w:val="num" w:pos="360"/>
        </w:tabs>
        <w:ind w:left="360" w:hanging="360"/>
        <w:rPr>
          <w:sz w:val="24"/>
          <w:szCs w:val="24"/>
          <w:lang w:val="en-GB"/>
        </w:rPr>
      </w:pPr>
      <w:r w:rsidRPr="002E6CA7">
        <w:rPr>
          <w:sz w:val="24"/>
          <w:szCs w:val="24"/>
          <w:lang w:val="en-GB"/>
        </w:rPr>
        <w:t>List of members of board of directors and Chief Executive Officer.</w:t>
      </w:r>
    </w:p>
    <w:p w:rsidR="00BF39E6" w:rsidRPr="002E6CA7" w:rsidRDefault="00BF39E6" w:rsidP="0059600B">
      <w:pPr>
        <w:numPr>
          <w:ilvl w:val="0"/>
          <w:numId w:val="4"/>
        </w:numPr>
        <w:tabs>
          <w:tab w:val="clear" w:pos="720"/>
          <w:tab w:val="num" w:pos="360"/>
        </w:tabs>
        <w:ind w:left="360" w:hanging="360"/>
        <w:rPr>
          <w:sz w:val="24"/>
          <w:szCs w:val="24"/>
          <w:lang w:val="en-GB"/>
        </w:rPr>
      </w:pPr>
      <w:r w:rsidRPr="002E6CA7">
        <w:rPr>
          <w:sz w:val="24"/>
          <w:szCs w:val="24"/>
          <w:lang w:val="en-GB"/>
        </w:rPr>
        <w:t xml:space="preserve">Audited balance sheet, income statement and cash flow for the last three years </w:t>
      </w:r>
    </w:p>
    <w:p w:rsidR="00BF39E6" w:rsidRPr="002E6CA7" w:rsidRDefault="00BF39E6" w:rsidP="0059600B">
      <w:pPr>
        <w:numPr>
          <w:ilvl w:val="0"/>
          <w:numId w:val="4"/>
        </w:numPr>
        <w:tabs>
          <w:tab w:val="clear" w:pos="720"/>
          <w:tab w:val="num" w:pos="360"/>
        </w:tabs>
        <w:ind w:left="360" w:right="180" w:hanging="360"/>
        <w:rPr>
          <w:sz w:val="24"/>
          <w:szCs w:val="24"/>
          <w:lang w:val="en-GB"/>
        </w:rPr>
      </w:pPr>
      <w:r w:rsidRPr="002E6CA7">
        <w:rPr>
          <w:sz w:val="24"/>
          <w:szCs w:val="24"/>
          <w:lang w:val="en-GB"/>
        </w:rPr>
        <w:t>Certified copies of tax returns together with respective Tax clearance certificates.</w:t>
      </w:r>
    </w:p>
    <w:p w:rsidR="00BF39E6" w:rsidRPr="002E6CA7" w:rsidRDefault="00BF39E6" w:rsidP="0059600B">
      <w:pPr>
        <w:widowControl w:val="0"/>
        <w:numPr>
          <w:ilvl w:val="0"/>
          <w:numId w:val="4"/>
        </w:numPr>
        <w:tabs>
          <w:tab w:val="clear" w:pos="720"/>
          <w:tab w:val="num" w:pos="360"/>
        </w:tabs>
        <w:autoSpaceDE w:val="0"/>
        <w:autoSpaceDN w:val="0"/>
        <w:adjustRightInd w:val="0"/>
        <w:spacing w:before="115"/>
        <w:ind w:left="360" w:right="180" w:hanging="360"/>
        <w:rPr>
          <w:sz w:val="24"/>
          <w:szCs w:val="24"/>
          <w:lang w:val="en-GB"/>
        </w:rPr>
      </w:pPr>
      <w:r w:rsidRPr="002E6CA7">
        <w:rPr>
          <w:sz w:val="24"/>
          <w:szCs w:val="24"/>
          <w:lang w:val="en-GB"/>
        </w:rPr>
        <w:t xml:space="preserve">Declaration that the funds </w:t>
      </w:r>
      <w:r w:rsidR="00B914EB" w:rsidRPr="002E6CA7">
        <w:rPr>
          <w:sz w:val="24"/>
          <w:szCs w:val="24"/>
          <w:lang w:val="en-GB"/>
        </w:rPr>
        <w:t>shall solely be invested in housing microfinance only.</w:t>
      </w:r>
    </w:p>
    <w:p w:rsidR="00BF39E6" w:rsidRPr="002E6CA7" w:rsidRDefault="00BF39E6" w:rsidP="0059600B">
      <w:pPr>
        <w:widowControl w:val="0"/>
        <w:numPr>
          <w:ilvl w:val="0"/>
          <w:numId w:val="4"/>
        </w:numPr>
        <w:tabs>
          <w:tab w:val="clear" w:pos="720"/>
          <w:tab w:val="num" w:pos="360"/>
        </w:tabs>
        <w:autoSpaceDE w:val="0"/>
        <w:autoSpaceDN w:val="0"/>
        <w:adjustRightInd w:val="0"/>
        <w:spacing w:before="115"/>
        <w:ind w:left="360" w:right="180" w:hanging="360"/>
        <w:rPr>
          <w:sz w:val="24"/>
          <w:szCs w:val="24"/>
          <w:lang w:val="en-GB"/>
        </w:rPr>
      </w:pPr>
      <w:r w:rsidRPr="002E6CA7">
        <w:rPr>
          <w:sz w:val="24"/>
          <w:szCs w:val="24"/>
          <w:lang w:val="en-GB"/>
        </w:rPr>
        <w:t>Business plan for the first four years of operations including strategies for growth</w:t>
      </w:r>
      <w:r w:rsidR="00B914EB" w:rsidRPr="002E6CA7">
        <w:rPr>
          <w:sz w:val="24"/>
          <w:szCs w:val="24"/>
          <w:lang w:val="en-GB"/>
        </w:rPr>
        <w:t xml:space="preserve"> and sustainability.</w:t>
      </w:r>
    </w:p>
    <w:p w:rsidR="00BF39E6" w:rsidRPr="002E6CA7" w:rsidRDefault="00BF39E6" w:rsidP="0059600B">
      <w:pPr>
        <w:widowControl w:val="0"/>
        <w:numPr>
          <w:ilvl w:val="0"/>
          <w:numId w:val="4"/>
        </w:numPr>
        <w:tabs>
          <w:tab w:val="clear" w:pos="720"/>
          <w:tab w:val="num" w:pos="360"/>
        </w:tabs>
        <w:autoSpaceDE w:val="0"/>
        <w:autoSpaceDN w:val="0"/>
        <w:adjustRightInd w:val="0"/>
        <w:ind w:left="360" w:right="180" w:hanging="360"/>
        <w:rPr>
          <w:sz w:val="24"/>
          <w:szCs w:val="24"/>
          <w:lang w:val="en-GB"/>
        </w:rPr>
      </w:pPr>
      <w:r w:rsidRPr="002E6CA7">
        <w:rPr>
          <w:sz w:val="24"/>
          <w:szCs w:val="24"/>
          <w:lang w:val="en-GB"/>
        </w:rPr>
        <w:t>Projected balance sheets, income statements and cash flow statements for the first four years of operation.</w:t>
      </w:r>
    </w:p>
    <w:p w:rsidR="00BF39E6" w:rsidRPr="002E6CA7" w:rsidRDefault="00BF39E6" w:rsidP="00BF39E6">
      <w:pPr>
        <w:widowControl w:val="0"/>
        <w:tabs>
          <w:tab w:val="num" w:pos="360"/>
        </w:tabs>
        <w:autoSpaceDE w:val="0"/>
        <w:autoSpaceDN w:val="0"/>
        <w:adjustRightInd w:val="0"/>
        <w:ind w:left="360" w:right="180" w:hanging="360"/>
        <w:rPr>
          <w:sz w:val="24"/>
          <w:szCs w:val="24"/>
          <w:lang w:val="en-GB"/>
        </w:rPr>
      </w:pPr>
    </w:p>
    <w:p w:rsidR="00B914EB" w:rsidRPr="002E6CA7" w:rsidRDefault="00B914EB" w:rsidP="00AE5CFC">
      <w:pPr>
        <w:pStyle w:val="NoSpacing"/>
        <w:jc w:val="center"/>
        <w:rPr>
          <w:sz w:val="24"/>
          <w:szCs w:val="24"/>
          <w:lang w:val="en-GB"/>
        </w:rPr>
      </w:pPr>
    </w:p>
    <w:p w:rsidR="00B914EB" w:rsidRPr="002E6CA7" w:rsidRDefault="00B914EB" w:rsidP="009F616F">
      <w:pPr>
        <w:pStyle w:val="NoSpacing"/>
        <w:rPr>
          <w:sz w:val="24"/>
          <w:szCs w:val="24"/>
          <w:lang w:val="en-GB"/>
        </w:rPr>
      </w:pPr>
    </w:p>
    <w:sectPr w:rsidR="00B914EB" w:rsidRPr="002E6CA7" w:rsidSect="006377D2">
      <w:footerReference w:type="default" r:id="rId8"/>
      <w:pgSz w:w="12240" w:h="15840"/>
      <w:pgMar w:top="1008" w:right="1440" w:bottom="1008" w:left="11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7B8" w:rsidRDefault="009257B8" w:rsidP="003A6A65">
      <w:r>
        <w:separator/>
      </w:r>
    </w:p>
  </w:endnote>
  <w:endnote w:type="continuationSeparator" w:id="0">
    <w:p w:rsidR="009257B8" w:rsidRDefault="009257B8" w:rsidP="003A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3F5" w:rsidRDefault="005F03F5">
    <w:pPr>
      <w:pStyle w:val="Footer"/>
      <w:jc w:val="right"/>
    </w:pPr>
    <w:r>
      <w:fldChar w:fldCharType="begin"/>
    </w:r>
    <w:r>
      <w:instrText xml:space="preserve"> PAGE   \* MERGEFORMAT </w:instrText>
    </w:r>
    <w:r>
      <w:fldChar w:fldCharType="separate"/>
    </w:r>
    <w:r w:rsidR="00412927">
      <w:rPr>
        <w:noProof/>
      </w:rPr>
      <w:t>1</w:t>
    </w:r>
    <w:r>
      <w:rPr>
        <w:noProof/>
      </w:rPr>
      <w:fldChar w:fldCharType="end"/>
    </w:r>
  </w:p>
  <w:p w:rsidR="005F03F5" w:rsidRDefault="005F0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7B8" w:rsidRDefault="009257B8" w:rsidP="003A6A65">
      <w:r>
        <w:separator/>
      </w:r>
    </w:p>
  </w:footnote>
  <w:footnote w:type="continuationSeparator" w:id="0">
    <w:p w:rsidR="009257B8" w:rsidRDefault="009257B8" w:rsidP="003A6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3089A"/>
    <w:multiLevelType w:val="hybridMultilevel"/>
    <w:tmpl w:val="EB34E9A2"/>
    <w:lvl w:ilvl="0" w:tplc="2116CEBE">
      <w:start w:val="1"/>
      <w:numFmt w:val="lowerRoman"/>
      <w:lvlText w:val="%1."/>
      <w:lvlJc w:val="left"/>
      <w:pPr>
        <w:ind w:left="1800" w:hanging="360"/>
      </w:pPr>
      <w:rPr>
        <w:rFonts w:ascii="Verdana" w:hAnsi="Verdana" w:hint="default"/>
        <w:b w:val="0"/>
        <w:i w:val="0"/>
        <w:caps w:val="0"/>
        <w:strike w:val="0"/>
        <w:dstrike w:val="0"/>
        <w:vanish w:val="0"/>
        <w:sz w:val="24"/>
        <w:szCs w:val="28"/>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597DDE"/>
    <w:multiLevelType w:val="hybridMultilevel"/>
    <w:tmpl w:val="0A62CCBC"/>
    <w:lvl w:ilvl="0" w:tplc="0809000F">
      <w:start w:val="1"/>
      <w:numFmt w:val="decimal"/>
      <w:lvlText w:val="%1."/>
      <w:lvlJc w:val="left"/>
      <w:pPr>
        <w:tabs>
          <w:tab w:val="num" w:pos="734"/>
        </w:tabs>
        <w:ind w:left="734" w:hanging="360"/>
      </w:pPr>
    </w:lvl>
    <w:lvl w:ilvl="1" w:tplc="08090019" w:tentative="1">
      <w:start w:val="1"/>
      <w:numFmt w:val="lowerLetter"/>
      <w:lvlText w:val="%2."/>
      <w:lvlJc w:val="left"/>
      <w:pPr>
        <w:tabs>
          <w:tab w:val="num" w:pos="1454"/>
        </w:tabs>
        <w:ind w:left="1454" w:hanging="360"/>
      </w:pPr>
    </w:lvl>
    <w:lvl w:ilvl="2" w:tplc="0809001B" w:tentative="1">
      <w:start w:val="1"/>
      <w:numFmt w:val="lowerRoman"/>
      <w:lvlText w:val="%3."/>
      <w:lvlJc w:val="right"/>
      <w:pPr>
        <w:tabs>
          <w:tab w:val="num" w:pos="2174"/>
        </w:tabs>
        <w:ind w:left="2174" w:hanging="180"/>
      </w:pPr>
    </w:lvl>
    <w:lvl w:ilvl="3" w:tplc="0809000F" w:tentative="1">
      <w:start w:val="1"/>
      <w:numFmt w:val="decimal"/>
      <w:lvlText w:val="%4."/>
      <w:lvlJc w:val="left"/>
      <w:pPr>
        <w:tabs>
          <w:tab w:val="num" w:pos="2894"/>
        </w:tabs>
        <w:ind w:left="2894" w:hanging="360"/>
      </w:pPr>
    </w:lvl>
    <w:lvl w:ilvl="4" w:tplc="08090019" w:tentative="1">
      <w:start w:val="1"/>
      <w:numFmt w:val="lowerLetter"/>
      <w:lvlText w:val="%5."/>
      <w:lvlJc w:val="left"/>
      <w:pPr>
        <w:tabs>
          <w:tab w:val="num" w:pos="3614"/>
        </w:tabs>
        <w:ind w:left="3614" w:hanging="360"/>
      </w:pPr>
    </w:lvl>
    <w:lvl w:ilvl="5" w:tplc="0809001B" w:tentative="1">
      <w:start w:val="1"/>
      <w:numFmt w:val="lowerRoman"/>
      <w:lvlText w:val="%6."/>
      <w:lvlJc w:val="right"/>
      <w:pPr>
        <w:tabs>
          <w:tab w:val="num" w:pos="4334"/>
        </w:tabs>
        <w:ind w:left="4334" w:hanging="180"/>
      </w:pPr>
    </w:lvl>
    <w:lvl w:ilvl="6" w:tplc="0809000F" w:tentative="1">
      <w:start w:val="1"/>
      <w:numFmt w:val="decimal"/>
      <w:lvlText w:val="%7."/>
      <w:lvlJc w:val="left"/>
      <w:pPr>
        <w:tabs>
          <w:tab w:val="num" w:pos="5054"/>
        </w:tabs>
        <w:ind w:left="5054" w:hanging="360"/>
      </w:pPr>
    </w:lvl>
    <w:lvl w:ilvl="7" w:tplc="08090019" w:tentative="1">
      <w:start w:val="1"/>
      <w:numFmt w:val="lowerLetter"/>
      <w:lvlText w:val="%8."/>
      <w:lvlJc w:val="left"/>
      <w:pPr>
        <w:tabs>
          <w:tab w:val="num" w:pos="5774"/>
        </w:tabs>
        <w:ind w:left="5774" w:hanging="360"/>
      </w:pPr>
    </w:lvl>
    <w:lvl w:ilvl="8" w:tplc="0809001B" w:tentative="1">
      <w:start w:val="1"/>
      <w:numFmt w:val="lowerRoman"/>
      <w:lvlText w:val="%9."/>
      <w:lvlJc w:val="right"/>
      <w:pPr>
        <w:tabs>
          <w:tab w:val="num" w:pos="6494"/>
        </w:tabs>
        <w:ind w:left="6494" w:hanging="180"/>
      </w:pPr>
    </w:lvl>
  </w:abstractNum>
  <w:abstractNum w:abstractNumId="2">
    <w:nsid w:val="1AF97FC5"/>
    <w:multiLevelType w:val="hybridMultilevel"/>
    <w:tmpl w:val="EA6266E8"/>
    <w:lvl w:ilvl="0" w:tplc="2116CEBE">
      <w:start w:val="1"/>
      <w:numFmt w:val="lowerRoman"/>
      <w:lvlText w:val="%1."/>
      <w:lvlJc w:val="left"/>
      <w:pPr>
        <w:ind w:left="1800" w:hanging="360"/>
      </w:pPr>
      <w:rPr>
        <w:rFonts w:ascii="Verdana" w:hAnsi="Verdana" w:hint="default"/>
        <w:b w:val="0"/>
        <w:i w:val="0"/>
        <w:caps w:val="0"/>
        <w:strike w:val="0"/>
        <w:dstrike w:val="0"/>
        <w:vanish w:val="0"/>
        <w:sz w:val="24"/>
        <w:szCs w:val="28"/>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3F290B"/>
    <w:multiLevelType w:val="hybridMultilevel"/>
    <w:tmpl w:val="3EF809D0"/>
    <w:lvl w:ilvl="0" w:tplc="96C221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CE160D"/>
    <w:multiLevelType w:val="hybridMultilevel"/>
    <w:tmpl w:val="F774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C2E05"/>
    <w:multiLevelType w:val="hybridMultilevel"/>
    <w:tmpl w:val="76A281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00E87"/>
    <w:multiLevelType w:val="hybridMultilevel"/>
    <w:tmpl w:val="EA6266E8"/>
    <w:lvl w:ilvl="0" w:tplc="2116CEBE">
      <w:start w:val="1"/>
      <w:numFmt w:val="lowerRoman"/>
      <w:lvlText w:val="%1."/>
      <w:lvlJc w:val="left"/>
      <w:pPr>
        <w:ind w:left="1800" w:hanging="360"/>
      </w:pPr>
      <w:rPr>
        <w:rFonts w:ascii="Verdana" w:hAnsi="Verdana" w:hint="default"/>
        <w:b w:val="0"/>
        <w:i w:val="0"/>
        <w:caps w:val="0"/>
        <w:strike w:val="0"/>
        <w:dstrike w:val="0"/>
        <w:vanish w:val="0"/>
        <w:sz w:val="24"/>
        <w:szCs w:val="28"/>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C4748D3"/>
    <w:multiLevelType w:val="hybridMultilevel"/>
    <w:tmpl w:val="1EA027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A4526"/>
    <w:multiLevelType w:val="hybridMultilevel"/>
    <w:tmpl w:val="31BA25D4"/>
    <w:lvl w:ilvl="0" w:tplc="12687810">
      <w:start w:val="14"/>
      <w:numFmt w:val="decimal"/>
      <w:lvlText w:val="%1."/>
      <w:lvlJc w:val="left"/>
      <w:pPr>
        <w:tabs>
          <w:tab w:val="num" w:pos="720"/>
        </w:tabs>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6CD0CED"/>
    <w:multiLevelType w:val="hybridMultilevel"/>
    <w:tmpl w:val="9CF0212E"/>
    <w:lvl w:ilvl="0" w:tplc="F816E5BA">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97E66AB"/>
    <w:multiLevelType w:val="multilevel"/>
    <w:tmpl w:val="26BC7794"/>
    <w:lvl w:ilvl="0">
      <w:start w:val="1"/>
      <w:numFmt w:val="lowerLetter"/>
      <w:pStyle w:val="Incisos"/>
      <w:lvlText w:val="%1)"/>
      <w:lvlJc w:val="left"/>
      <w:pPr>
        <w:tabs>
          <w:tab w:val="num" w:pos="432"/>
        </w:tabs>
        <w:ind w:left="432" w:hanging="432"/>
      </w:pPr>
      <w:rPr>
        <w:rFonts w:ascii="Times New Roman" w:hAnsi="Times New Roman" w:hint="default"/>
        <w:b/>
        <w:i w:val="0"/>
        <w:sz w:val="22"/>
      </w:rPr>
    </w:lvl>
    <w:lvl w:ilvl="1">
      <w:start w:val="1"/>
      <w:numFmt w:val="lowerRoman"/>
      <w:lvlText w:val="%2."/>
      <w:lvlJc w:val="left"/>
      <w:pPr>
        <w:tabs>
          <w:tab w:val="num" w:pos="1152"/>
        </w:tabs>
        <w:ind w:left="864" w:hanging="432"/>
      </w:pPr>
      <w:rPr>
        <w:rFonts w:ascii="Times New Roman" w:hAnsi="Times New Roman" w:hint="default"/>
        <w:b/>
        <w:i w:val="0"/>
        <w:sz w:val="22"/>
      </w:rPr>
    </w:lvl>
    <w:lvl w:ilvl="2">
      <w:start w:val="1"/>
      <w:numFmt w:val="bullet"/>
      <w:lvlText w:val=""/>
      <w:lvlJc w:val="left"/>
      <w:pPr>
        <w:tabs>
          <w:tab w:val="num" w:pos="1728"/>
        </w:tabs>
        <w:ind w:left="1728" w:hanging="432"/>
      </w:pPr>
      <w:rPr>
        <w:rFonts w:ascii="Symbol" w:hAnsi="Symbol" w:hint="default"/>
        <w:b/>
        <w:i w:val="0"/>
        <w:sz w:val="16"/>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47754F"/>
    <w:multiLevelType w:val="hybridMultilevel"/>
    <w:tmpl w:val="0394B08C"/>
    <w:lvl w:ilvl="0" w:tplc="0409001B">
      <w:start w:val="1"/>
      <w:numFmt w:val="lowerRoman"/>
      <w:lvlText w:val="%1."/>
      <w:lvlJc w:val="righ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5779D4"/>
    <w:multiLevelType w:val="hybridMultilevel"/>
    <w:tmpl w:val="0394B08C"/>
    <w:lvl w:ilvl="0" w:tplc="0409001B">
      <w:start w:val="1"/>
      <w:numFmt w:val="lowerRoman"/>
      <w:lvlText w:val="%1."/>
      <w:lvlJc w:val="righ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41AFF"/>
    <w:multiLevelType w:val="hybridMultilevel"/>
    <w:tmpl w:val="EB34E9A2"/>
    <w:lvl w:ilvl="0" w:tplc="2116CEBE">
      <w:start w:val="1"/>
      <w:numFmt w:val="lowerRoman"/>
      <w:lvlText w:val="%1."/>
      <w:lvlJc w:val="left"/>
      <w:pPr>
        <w:ind w:left="1800" w:hanging="360"/>
      </w:pPr>
      <w:rPr>
        <w:rFonts w:ascii="Verdana" w:hAnsi="Verdana" w:hint="default"/>
        <w:b w:val="0"/>
        <w:i w:val="0"/>
        <w:caps w:val="0"/>
        <w:strike w:val="0"/>
        <w:dstrike w:val="0"/>
        <w:vanish w:val="0"/>
        <w:sz w:val="24"/>
        <w:szCs w:val="28"/>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2FF4040"/>
    <w:multiLevelType w:val="hybridMultilevel"/>
    <w:tmpl w:val="1EA027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5A191D"/>
    <w:multiLevelType w:val="hybridMultilevel"/>
    <w:tmpl w:val="40FEBA20"/>
    <w:lvl w:ilvl="0" w:tplc="9A10DADA">
      <w:start w:val="1"/>
      <w:numFmt w:val="lowerLetter"/>
      <w:lvlText w:val="%1."/>
      <w:lvlJc w:val="left"/>
      <w:pPr>
        <w:ind w:left="2520" w:hanging="360"/>
      </w:pPr>
      <w:rPr>
        <w:rFonts w:ascii="Verdana" w:hAnsi="Verdana" w:hint="default"/>
        <w:b w:val="0"/>
        <w:i w:val="0"/>
        <w:caps w:val="0"/>
        <w:strike w:val="0"/>
        <w:dstrike w:val="0"/>
        <w:vanish w:val="0"/>
        <w:sz w:val="24"/>
        <w:u w:val="none"/>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093307E"/>
    <w:multiLevelType w:val="hybridMultilevel"/>
    <w:tmpl w:val="1EA027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5E5FF3"/>
    <w:multiLevelType w:val="hybridMultilevel"/>
    <w:tmpl w:val="A6DCC2AC"/>
    <w:lvl w:ilvl="0" w:tplc="23A4942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67655CE"/>
    <w:multiLevelType w:val="hybridMultilevel"/>
    <w:tmpl w:val="0394B08C"/>
    <w:lvl w:ilvl="0" w:tplc="0409001B">
      <w:start w:val="1"/>
      <w:numFmt w:val="lowerRoman"/>
      <w:lvlText w:val="%1."/>
      <w:lvlJc w:val="righ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0A0E19"/>
    <w:multiLevelType w:val="hybridMultilevel"/>
    <w:tmpl w:val="0394B08C"/>
    <w:lvl w:ilvl="0" w:tplc="0409001B">
      <w:start w:val="1"/>
      <w:numFmt w:val="lowerRoman"/>
      <w:lvlText w:val="%1."/>
      <w:lvlJc w:val="righ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602D8E"/>
    <w:multiLevelType w:val="hybridMultilevel"/>
    <w:tmpl w:val="AF84E67A"/>
    <w:lvl w:ilvl="0" w:tplc="80863B6A">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20"/>
  </w:num>
  <w:num w:numId="4">
    <w:abstractNumId w:val="17"/>
  </w:num>
  <w:num w:numId="5">
    <w:abstractNumId w:val="9"/>
  </w:num>
  <w:num w:numId="6">
    <w:abstractNumId w:val="1"/>
  </w:num>
  <w:num w:numId="7">
    <w:abstractNumId w:val="8"/>
  </w:num>
  <w:num w:numId="8">
    <w:abstractNumId w:val="13"/>
  </w:num>
  <w:num w:numId="9">
    <w:abstractNumId w:val="6"/>
  </w:num>
  <w:num w:numId="10">
    <w:abstractNumId w:val="15"/>
  </w:num>
  <w:num w:numId="11">
    <w:abstractNumId w:val="2"/>
  </w:num>
  <w:num w:numId="12">
    <w:abstractNumId w:val="0"/>
  </w:num>
  <w:num w:numId="13">
    <w:abstractNumId w:val="4"/>
  </w:num>
  <w:num w:numId="14">
    <w:abstractNumId w:val="5"/>
  </w:num>
  <w:num w:numId="15">
    <w:abstractNumId w:val="3"/>
  </w:num>
  <w:num w:numId="16">
    <w:abstractNumId w:val="7"/>
  </w:num>
  <w:num w:numId="17">
    <w:abstractNumId w:val="14"/>
  </w:num>
  <w:num w:numId="18">
    <w:abstractNumId w:val="12"/>
  </w:num>
  <w:num w:numId="19">
    <w:abstractNumId w:val="19"/>
  </w:num>
  <w:num w:numId="20">
    <w:abstractNumId w:val="18"/>
  </w:num>
  <w:num w:numId="2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oNotTrackFormatting/>
  <w:defaultTabStop w:val="14"/>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7EF"/>
    <w:rsid w:val="00004DF7"/>
    <w:rsid w:val="00004ECD"/>
    <w:rsid w:val="00007140"/>
    <w:rsid w:val="000077FA"/>
    <w:rsid w:val="000128A1"/>
    <w:rsid w:val="00013ACD"/>
    <w:rsid w:val="00017EB5"/>
    <w:rsid w:val="00021FE6"/>
    <w:rsid w:val="000230B4"/>
    <w:rsid w:val="00025BB0"/>
    <w:rsid w:val="00025DFE"/>
    <w:rsid w:val="00026B4B"/>
    <w:rsid w:val="00035551"/>
    <w:rsid w:val="00040944"/>
    <w:rsid w:val="0004248B"/>
    <w:rsid w:val="00050136"/>
    <w:rsid w:val="000627B2"/>
    <w:rsid w:val="000630C7"/>
    <w:rsid w:val="00063D9C"/>
    <w:rsid w:val="0006642F"/>
    <w:rsid w:val="000721FA"/>
    <w:rsid w:val="000768E0"/>
    <w:rsid w:val="00080543"/>
    <w:rsid w:val="00090C59"/>
    <w:rsid w:val="00092A01"/>
    <w:rsid w:val="000936E6"/>
    <w:rsid w:val="00093FF4"/>
    <w:rsid w:val="00094752"/>
    <w:rsid w:val="00095184"/>
    <w:rsid w:val="0009549A"/>
    <w:rsid w:val="00095709"/>
    <w:rsid w:val="000970C2"/>
    <w:rsid w:val="000A0051"/>
    <w:rsid w:val="000A04B6"/>
    <w:rsid w:val="000A1DA0"/>
    <w:rsid w:val="000A2225"/>
    <w:rsid w:val="000A4051"/>
    <w:rsid w:val="000B3E9D"/>
    <w:rsid w:val="000B6293"/>
    <w:rsid w:val="000B66A3"/>
    <w:rsid w:val="000B72E0"/>
    <w:rsid w:val="000C211C"/>
    <w:rsid w:val="000C406D"/>
    <w:rsid w:val="000C7494"/>
    <w:rsid w:val="000C7580"/>
    <w:rsid w:val="000C7C9D"/>
    <w:rsid w:val="000D0DF3"/>
    <w:rsid w:val="000D1AB1"/>
    <w:rsid w:val="000D6AC4"/>
    <w:rsid w:val="000F0D06"/>
    <w:rsid w:val="001029C4"/>
    <w:rsid w:val="00102ADB"/>
    <w:rsid w:val="0010340A"/>
    <w:rsid w:val="001055B4"/>
    <w:rsid w:val="00107BCD"/>
    <w:rsid w:val="00111435"/>
    <w:rsid w:val="0011290D"/>
    <w:rsid w:val="00112B62"/>
    <w:rsid w:val="00114F89"/>
    <w:rsid w:val="001156D2"/>
    <w:rsid w:val="00120256"/>
    <w:rsid w:val="00120963"/>
    <w:rsid w:val="00123893"/>
    <w:rsid w:val="00125D56"/>
    <w:rsid w:val="0012709A"/>
    <w:rsid w:val="0013384D"/>
    <w:rsid w:val="00137AB2"/>
    <w:rsid w:val="0014004E"/>
    <w:rsid w:val="00145565"/>
    <w:rsid w:val="0015206A"/>
    <w:rsid w:val="0015593E"/>
    <w:rsid w:val="00160CEB"/>
    <w:rsid w:val="0016101D"/>
    <w:rsid w:val="001621C7"/>
    <w:rsid w:val="001630EC"/>
    <w:rsid w:val="00173484"/>
    <w:rsid w:val="00177C66"/>
    <w:rsid w:val="00181587"/>
    <w:rsid w:val="0018367F"/>
    <w:rsid w:val="0018444B"/>
    <w:rsid w:val="001858D3"/>
    <w:rsid w:val="001876A7"/>
    <w:rsid w:val="0019254C"/>
    <w:rsid w:val="00193985"/>
    <w:rsid w:val="00196223"/>
    <w:rsid w:val="001A5F3B"/>
    <w:rsid w:val="001A6295"/>
    <w:rsid w:val="001A7021"/>
    <w:rsid w:val="001B4EA9"/>
    <w:rsid w:val="001B5740"/>
    <w:rsid w:val="001B596A"/>
    <w:rsid w:val="001C049F"/>
    <w:rsid w:val="001C1320"/>
    <w:rsid w:val="001C30B2"/>
    <w:rsid w:val="001C3D46"/>
    <w:rsid w:val="001D1D14"/>
    <w:rsid w:val="001D1F42"/>
    <w:rsid w:val="001D3BFA"/>
    <w:rsid w:val="001D5106"/>
    <w:rsid w:val="001D7209"/>
    <w:rsid w:val="001D7AA6"/>
    <w:rsid w:val="001E186D"/>
    <w:rsid w:val="001E27DF"/>
    <w:rsid w:val="001E2D6E"/>
    <w:rsid w:val="001E5B1F"/>
    <w:rsid w:val="001F0D13"/>
    <w:rsid w:val="001F11F2"/>
    <w:rsid w:val="001F2E40"/>
    <w:rsid w:val="001F47CC"/>
    <w:rsid w:val="001F64BE"/>
    <w:rsid w:val="002015F0"/>
    <w:rsid w:val="00202E57"/>
    <w:rsid w:val="0020423E"/>
    <w:rsid w:val="00214B3A"/>
    <w:rsid w:val="00217EFA"/>
    <w:rsid w:val="0022453E"/>
    <w:rsid w:val="0022637F"/>
    <w:rsid w:val="0023066C"/>
    <w:rsid w:val="002335F5"/>
    <w:rsid w:val="00234107"/>
    <w:rsid w:val="002361E8"/>
    <w:rsid w:val="00237E70"/>
    <w:rsid w:val="00241840"/>
    <w:rsid w:val="00245374"/>
    <w:rsid w:val="00250D37"/>
    <w:rsid w:val="00252B97"/>
    <w:rsid w:val="00252DFF"/>
    <w:rsid w:val="0025513C"/>
    <w:rsid w:val="00256B75"/>
    <w:rsid w:val="00260F93"/>
    <w:rsid w:val="002617D5"/>
    <w:rsid w:val="00263178"/>
    <w:rsid w:val="00263916"/>
    <w:rsid w:val="002647A4"/>
    <w:rsid w:val="00276B55"/>
    <w:rsid w:val="0027754B"/>
    <w:rsid w:val="00281433"/>
    <w:rsid w:val="00281618"/>
    <w:rsid w:val="002823E2"/>
    <w:rsid w:val="0028308A"/>
    <w:rsid w:val="00283A72"/>
    <w:rsid w:val="00284E99"/>
    <w:rsid w:val="00290814"/>
    <w:rsid w:val="00290E5B"/>
    <w:rsid w:val="0029323F"/>
    <w:rsid w:val="002A6125"/>
    <w:rsid w:val="002A73F9"/>
    <w:rsid w:val="002B3F3C"/>
    <w:rsid w:val="002B4322"/>
    <w:rsid w:val="002B5233"/>
    <w:rsid w:val="002B7476"/>
    <w:rsid w:val="002C3A42"/>
    <w:rsid w:val="002C6DAB"/>
    <w:rsid w:val="002D3BA6"/>
    <w:rsid w:val="002E330F"/>
    <w:rsid w:val="002E6CA7"/>
    <w:rsid w:val="002E7222"/>
    <w:rsid w:val="002F1402"/>
    <w:rsid w:val="002F2720"/>
    <w:rsid w:val="002F325C"/>
    <w:rsid w:val="002F434A"/>
    <w:rsid w:val="002F48D5"/>
    <w:rsid w:val="002F6434"/>
    <w:rsid w:val="00301983"/>
    <w:rsid w:val="0030646B"/>
    <w:rsid w:val="00312A70"/>
    <w:rsid w:val="00316BD6"/>
    <w:rsid w:val="0032097F"/>
    <w:rsid w:val="00324A15"/>
    <w:rsid w:val="0032676D"/>
    <w:rsid w:val="00331FE7"/>
    <w:rsid w:val="00336280"/>
    <w:rsid w:val="00337D4E"/>
    <w:rsid w:val="003452F2"/>
    <w:rsid w:val="00345AF0"/>
    <w:rsid w:val="00345B6B"/>
    <w:rsid w:val="00346D44"/>
    <w:rsid w:val="00347C56"/>
    <w:rsid w:val="00352602"/>
    <w:rsid w:val="003533A6"/>
    <w:rsid w:val="00353822"/>
    <w:rsid w:val="0036261D"/>
    <w:rsid w:val="00363A30"/>
    <w:rsid w:val="0036528A"/>
    <w:rsid w:val="003665E9"/>
    <w:rsid w:val="003673A6"/>
    <w:rsid w:val="0037046D"/>
    <w:rsid w:val="003728D1"/>
    <w:rsid w:val="00372B3B"/>
    <w:rsid w:val="00375609"/>
    <w:rsid w:val="00385550"/>
    <w:rsid w:val="00385C52"/>
    <w:rsid w:val="00386FAA"/>
    <w:rsid w:val="00391DA4"/>
    <w:rsid w:val="00394CDB"/>
    <w:rsid w:val="00395A97"/>
    <w:rsid w:val="00396669"/>
    <w:rsid w:val="003A1E1A"/>
    <w:rsid w:val="003A2C85"/>
    <w:rsid w:val="003A6A65"/>
    <w:rsid w:val="003A7E96"/>
    <w:rsid w:val="003B0AD8"/>
    <w:rsid w:val="003B5E1D"/>
    <w:rsid w:val="003B6795"/>
    <w:rsid w:val="003B6FF0"/>
    <w:rsid w:val="003C2D83"/>
    <w:rsid w:val="003C38DF"/>
    <w:rsid w:val="003C38EF"/>
    <w:rsid w:val="003C3AA0"/>
    <w:rsid w:val="003C3BF3"/>
    <w:rsid w:val="003C50CF"/>
    <w:rsid w:val="003C7F9A"/>
    <w:rsid w:val="003D25CE"/>
    <w:rsid w:val="003D338A"/>
    <w:rsid w:val="003D5174"/>
    <w:rsid w:val="003D7317"/>
    <w:rsid w:val="003E492D"/>
    <w:rsid w:val="003E5168"/>
    <w:rsid w:val="003E5F5D"/>
    <w:rsid w:val="003E6786"/>
    <w:rsid w:val="003F1B0A"/>
    <w:rsid w:val="003F1D01"/>
    <w:rsid w:val="003F3C9D"/>
    <w:rsid w:val="00402415"/>
    <w:rsid w:val="00403FBC"/>
    <w:rsid w:val="00404417"/>
    <w:rsid w:val="00405066"/>
    <w:rsid w:val="004072FC"/>
    <w:rsid w:val="00412927"/>
    <w:rsid w:val="00413DAF"/>
    <w:rsid w:val="004155D4"/>
    <w:rsid w:val="00420F9A"/>
    <w:rsid w:val="004319BA"/>
    <w:rsid w:val="0043359F"/>
    <w:rsid w:val="00435BE7"/>
    <w:rsid w:val="00436F93"/>
    <w:rsid w:val="004378FA"/>
    <w:rsid w:val="00441576"/>
    <w:rsid w:val="0044242D"/>
    <w:rsid w:val="004470FB"/>
    <w:rsid w:val="0045096C"/>
    <w:rsid w:val="00451297"/>
    <w:rsid w:val="004523C2"/>
    <w:rsid w:val="00453902"/>
    <w:rsid w:val="00454E82"/>
    <w:rsid w:val="004554C5"/>
    <w:rsid w:val="00455619"/>
    <w:rsid w:val="00456CF6"/>
    <w:rsid w:val="00460583"/>
    <w:rsid w:val="004615AE"/>
    <w:rsid w:val="00461C99"/>
    <w:rsid w:val="00467072"/>
    <w:rsid w:val="0047049B"/>
    <w:rsid w:val="00470F77"/>
    <w:rsid w:val="004749AC"/>
    <w:rsid w:val="00474E8D"/>
    <w:rsid w:val="004752F0"/>
    <w:rsid w:val="00477801"/>
    <w:rsid w:val="00490A88"/>
    <w:rsid w:val="00497ABA"/>
    <w:rsid w:val="004A1A3A"/>
    <w:rsid w:val="004A42C8"/>
    <w:rsid w:val="004A661F"/>
    <w:rsid w:val="004B0087"/>
    <w:rsid w:val="004B0B6C"/>
    <w:rsid w:val="004B0C3C"/>
    <w:rsid w:val="004C04E7"/>
    <w:rsid w:val="004C0735"/>
    <w:rsid w:val="004C512E"/>
    <w:rsid w:val="004D0861"/>
    <w:rsid w:val="004D5107"/>
    <w:rsid w:val="004D556E"/>
    <w:rsid w:val="004D6E9D"/>
    <w:rsid w:val="004E14F4"/>
    <w:rsid w:val="004E2C53"/>
    <w:rsid w:val="004E4473"/>
    <w:rsid w:val="004E771C"/>
    <w:rsid w:val="004F1201"/>
    <w:rsid w:val="004F1D09"/>
    <w:rsid w:val="004F2119"/>
    <w:rsid w:val="004F7B4B"/>
    <w:rsid w:val="00500F08"/>
    <w:rsid w:val="005021F6"/>
    <w:rsid w:val="00503C88"/>
    <w:rsid w:val="0050409F"/>
    <w:rsid w:val="0050685F"/>
    <w:rsid w:val="005079B1"/>
    <w:rsid w:val="00507F95"/>
    <w:rsid w:val="005107A6"/>
    <w:rsid w:val="00510FBF"/>
    <w:rsid w:val="00521BD2"/>
    <w:rsid w:val="00521C40"/>
    <w:rsid w:val="0052325E"/>
    <w:rsid w:val="005238BA"/>
    <w:rsid w:val="0052763F"/>
    <w:rsid w:val="005316FC"/>
    <w:rsid w:val="005350AC"/>
    <w:rsid w:val="00536DC6"/>
    <w:rsid w:val="00540CE4"/>
    <w:rsid w:val="0054470F"/>
    <w:rsid w:val="005473A7"/>
    <w:rsid w:val="00547B46"/>
    <w:rsid w:val="005506CD"/>
    <w:rsid w:val="00552314"/>
    <w:rsid w:val="005526F7"/>
    <w:rsid w:val="00553060"/>
    <w:rsid w:val="00561366"/>
    <w:rsid w:val="005625BB"/>
    <w:rsid w:val="005626E5"/>
    <w:rsid w:val="00563823"/>
    <w:rsid w:val="00564973"/>
    <w:rsid w:val="00564CB8"/>
    <w:rsid w:val="00567528"/>
    <w:rsid w:val="00570D0F"/>
    <w:rsid w:val="0057185A"/>
    <w:rsid w:val="00572A1C"/>
    <w:rsid w:val="0057314C"/>
    <w:rsid w:val="00575F97"/>
    <w:rsid w:val="00585928"/>
    <w:rsid w:val="0058719B"/>
    <w:rsid w:val="00595E13"/>
    <w:rsid w:val="0059600B"/>
    <w:rsid w:val="00596D84"/>
    <w:rsid w:val="005A2E3D"/>
    <w:rsid w:val="005A35B9"/>
    <w:rsid w:val="005A35F1"/>
    <w:rsid w:val="005A4092"/>
    <w:rsid w:val="005A53CF"/>
    <w:rsid w:val="005A5732"/>
    <w:rsid w:val="005A5F51"/>
    <w:rsid w:val="005B1936"/>
    <w:rsid w:val="005C0070"/>
    <w:rsid w:val="005C3905"/>
    <w:rsid w:val="005D0D1D"/>
    <w:rsid w:val="005D225C"/>
    <w:rsid w:val="005D7015"/>
    <w:rsid w:val="005E6B2B"/>
    <w:rsid w:val="005F03F5"/>
    <w:rsid w:val="005F5C1D"/>
    <w:rsid w:val="005F77B7"/>
    <w:rsid w:val="006014D3"/>
    <w:rsid w:val="00603B6E"/>
    <w:rsid w:val="00604487"/>
    <w:rsid w:val="00606835"/>
    <w:rsid w:val="00606847"/>
    <w:rsid w:val="00610E37"/>
    <w:rsid w:val="006251A7"/>
    <w:rsid w:val="00626FF7"/>
    <w:rsid w:val="006279B3"/>
    <w:rsid w:val="00627F87"/>
    <w:rsid w:val="00635B51"/>
    <w:rsid w:val="006377D2"/>
    <w:rsid w:val="006415B5"/>
    <w:rsid w:val="00641F96"/>
    <w:rsid w:val="006456C0"/>
    <w:rsid w:val="0064577D"/>
    <w:rsid w:val="00650BDA"/>
    <w:rsid w:val="006530C7"/>
    <w:rsid w:val="006611BD"/>
    <w:rsid w:val="006632DE"/>
    <w:rsid w:val="006668F9"/>
    <w:rsid w:val="0066719B"/>
    <w:rsid w:val="00671520"/>
    <w:rsid w:val="00671635"/>
    <w:rsid w:val="00671AE4"/>
    <w:rsid w:val="00674FDA"/>
    <w:rsid w:val="00687A41"/>
    <w:rsid w:val="00690057"/>
    <w:rsid w:val="00691403"/>
    <w:rsid w:val="00693A78"/>
    <w:rsid w:val="00694C50"/>
    <w:rsid w:val="0069511A"/>
    <w:rsid w:val="006A1020"/>
    <w:rsid w:val="006A2561"/>
    <w:rsid w:val="006A2E4F"/>
    <w:rsid w:val="006A4447"/>
    <w:rsid w:val="006A44A9"/>
    <w:rsid w:val="006B074C"/>
    <w:rsid w:val="006B21DA"/>
    <w:rsid w:val="006B2B50"/>
    <w:rsid w:val="006B2E51"/>
    <w:rsid w:val="006B4D22"/>
    <w:rsid w:val="006B5538"/>
    <w:rsid w:val="006B7520"/>
    <w:rsid w:val="006C414B"/>
    <w:rsid w:val="006C43C7"/>
    <w:rsid w:val="006C7E97"/>
    <w:rsid w:val="006D07AF"/>
    <w:rsid w:val="006D0955"/>
    <w:rsid w:val="006D0BBF"/>
    <w:rsid w:val="006D492F"/>
    <w:rsid w:val="006D775E"/>
    <w:rsid w:val="006E08AF"/>
    <w:rsid w:val="006E1BB8"/>
    <w:rsid w:val="006E3DE8"/>
    <w:rsid w:val="006E6007"/>
    <w:rsid w:val="006E74BF"/>
    <w:rsid w:val="006F126C"/>
    <w:rsid w:val="006F2BB3"/>
    <w:rsid w:val="006F5130"/>
    <w:rsid w:val="006F5F99"/>
    <w:rsid w:val="00701F9B"/>
    <w:rsid w:val="00707BB8"/>
    <w:rsid w:val="00711252"/>
    <w:rsid w:val="007139C6"/>
    <w:rsid w:val="00715399"/>
    <w:rsid w:val="00722A69"/>
    <w:rsid w:val="00725692"/>
    <w:rsid w:val="00726873"/>
    <w:rsid w:val="007305BB"/>
    <w:rsid w:val="00734885"/>
    <w:rsid w:val="007354F2"/>
    <w:rsid w:val="00735A63"/>
    <w:rsid w:val="007361C8"/>
    <w:rsid w:val="00737C52"/>
    <w:rsid w:val="007408D5"/>
    <w:rsid w:val="00741F1A"/>
    <w:rsid w:val="00742EAB"/>
    <w:rsid w:val="00745DA0"/>
    <w:rsid w:val="00747145"/>
    <w:rsid w:val="00755BE3"/>
    <w:rsid w:val="00755F2B"/>
    <w:rsid w:val="007608AD"/>
    <w:rsid w:val="0076140A"/>
    <w:rsid w:val="0076506D"/>
    <w:rsid w:val="00765350"/>
    <w:rsid w:val="007653A6"/>
    <w:rsid w:val="00765BCF"/>
    <w:rsid w:val="00767887"/>
    <w:rsid w:val="00770775"/>
    <w:rsid w:val="007734B8"/>
    <w:rsid w:val="007750AD"/>
    <w:rsid w:val="00775626"/>
    <w:rsid w:val="00776F77"/>
    <w:rsid w:val="0077731B"/>
    <w:rsid w:val="00777A07"/>
    <w:rsid w:val="00780E4D"/>
    <w:rsid w:val="007845FC"/>
    <w:rsid w:val="007847A4"/>
    <w:rsid w:val="00784F6D"/>
    <w:rsid w:val="00785116"/>
    <w:rsid w:val="00785684"/>
    <w:rsid w:val="007858C7"/>
    <w:rsid w:val="00787552"/>
    <w:rsid w:val="00792AF3"/>
    <w:rsid w:val="007A54B5"/>
    <w:rsid w:val="007B043E"/>
    <w:rsid w:val="007B3C2B"/>
    <w:rsid w:val="007B526B"/>
    <w:rsid w:val="007C13F6"/>
    <w:rsid w:val="007C2B80"/>
    <w:rsid w:val="007C2F17"/>
    <w:rsid w:val="007C43DE"/>
    <w:rsid w:val="007C5B5A"/>
    <w:rsid w:val="007C6427"/>
    <w:rsid w:val="007D01BD"/>
    <w:rsid w:val="007D0954"/>
    <w:rsid w:val="007D1EAA"/>
    <w:rsid w:val="007E1D29"/>
    <w:rsid w:val="007E352F"/>
    <w:rsid w:val="007E377D"/>
    <w:rsid w:val="007E4A52"/>
    <w:rsid w:val="007F1CE6"/>
    <w:rsid w:val="007F2A81"/>
    <w:rsid w:val="007F6F78"/>
    <w:rsid w:val="008037A8"/>
    <w:rsid w:val="00804B28"/>
    <w:rsid w:val="00810229"/>
    <w:rsid w:val="00820355"/>
    <w:rsid w:val="00826227"/>
    <w:rsid w:val="00830D41"/>
    <w:rsid w:val="00831BBE"/>
    <w:rsid w:val="00831C0A"/>
    <w:rsid w:val="00836E8B"/>
    <w:rsid w:val="00837C80"/>
    <w:rsid w:val="00852AEF"/>
    <w:rsid w:val="008539B2"/>
    <w:rsid w:val="00855875"/>
    <w:rsid w:val="00857CF0"/>
    <w:rsid w:val="00860CAE"/>
    <w:rsid w:val="0086749B"/>
    <w:rsid w:val="0086766B"/>
    <w:rsid w:val="008724E0"/>
    <w:rsid w:val="008755E3"/>
    <w:rsid w:val="00876171"/>
    <w:rsid w:val="00876CA0"/>
    <w:rsid w:val="00882077"/>
    <w:rsid w:val="00883CD8"/>
    <w:rsid w:val="0088416C"/>
    <w:rsid w:val="00885055"/>
    <w:rsid w:val="0088587A"/>
    <w:rsid w:val="0088752C"/>
    <w:rsid w:val="00891DE1"/>
    <w:rsid w:val="00895DA3"/>
    <w:rsid w:val="00897227"/>
    <w:rsid w:val="0089797F"/>
    <w:rsid w:val="008A186C"/>
    <w:rsid w:val="008A33AB"/>
    <w:rsid w:val="008A7C28"/>
    <w:rsid w:val="008B00B1"/>
    <w:rsid w:val="008B15E5"/>
    <w:rsid w:val="008B2424"/>
    <w:rsid w:val="008B3CE0"/>
    <w:rsid w:val="008C2C2D"/>
    <w:rsid w:val="008C6BAF"/>
    <w:rsid w:val="008C7977"/>
    <w:rsid w:val="008C7CDC"/>
    <w:rsid w:val="008D081C"/>
    <w:rsid w:val="008D1A59"/>
    <w:rsid w:val="008D1EDE"/>
    <w:rsid w:val="008D1F07"/>
    <w:rsid w:val="008D3473"/>
    <w:rsid w:val="008D5D0F"/>
    <w:rsid w:val="008E3568"/>
    <w:rsid w:val="008E6FA0"/>
    <w:rsid w:val="008F07EF"/>
    <w:rsid w:val="008F193B"/>
    <w:rsid w:val="008F3AEC"/>
    <w:rsid w:val="008F4AE9"/>
    <w:rsid w:val="008F4B1B"/>
    <w:rsid w:val="008F6843"/>
    <w:rsid w:val="009000FC"/>
    <w:rsid w:val="009026A4"/>
    <w:rsid w:val="0090764B"/>
    <w:rsid w:val="00911C6B"/>
    <w:rsid w:val="009166A7"/>
    <w:rsid w:val="00916EE6"/>
    <w:rsid w:val="0092055B"/>
    <w:rsid w:val="00921FD2"/>
    <w:rsid w:val="00923245"/>
    <w:rsid w:val="009257B8"/>
    <w:rsid w:val="00931DA2"/>
    <w:rsid w:val="00934113"/>
    <w:rsid w:val="00934F19"/>
    <w:rsid w:val="00942122"/>
    <w:rsid w:val="0095264F"/>
    <w:rsid w:val="009567FA"/>
    <w:rsid w:val="00961194"/>
    <w:rsid w:val="00964B36"/>
    <w:rsid w:val="00973786"/>
    <w:rsid w:val="00975654"/>
    <w:rsid w:val="00975A32"/>
    <w:rsid w:val="009767F7"/>
    <w:rsid w:val="0098099E"/>
    <w:rsid w:val="00981B78"/>
    <w:rsid w:val="00982AB6"/>
    <w:rsid w:val="00982DE2"/>
    <w:rsid w:val="009844A7"/>
    <w:rsid w:val="00984B3C"/>
    <w:rsid w:val="00987213"/>
    <w:rsid w:val="00987E22"/>
    <w:rsid w:val="009920CC"/>
    <w:rsid w:val="0099484F"/>
    <w:rsid w:val="009A2557"/>
    <w:rsid w:val="009A2789"/>
    <w:rsid w:val="009A295F"/>
    <w:rsid w:val="009A5DCA"/>
    <w:rsid w:val="009B76A0"/>
    <w:rsid w:val="009C0161"/>
    <w:rsid w:val="009C173C"/>
    <w:rsid w:val="009C2D10"/>
    <w:rsid w:val="009C3B6C"/>
    <w:rsid w:val="009C464C"/>
    <w:rsid w:val="009D0E52"/>
    <w:rsid w:val="009D3E6D"/>
    <w:rsid w:val="009D40EE"/>
    <w:rsid w:val="009D41ED"/>
    <w:rsid w:val="009D7C66"/>
    <w:rsid w:val="009E31DA"/>
    <w:rsid w:val="009E5A7C"/>
    <w:rsid w:val="009E7E80"/>
    <w:rsid w:val="009F23DC"/>
    <w:rsid w:val="009F2851"/>
    <w:rsid w:val="009F616F"/>
    <w:rsid w:val="00A00EE2"/>
    <w:rsid w:val="00A122C3"/>
    <w:rsid w:val="00A17314"/>
    <w:rsid w:val="00A21F0E"/>
    <w:rsid w:val="00A226D1"/>
    <w:rsid w:val="00A2778C"/>
    <w:rsid w:val="00A30F15"/>
    <w:rsid w:val="00A32152"/>
    <w:rsid w:val="00A33A9A"/>
    <w:rsid w:val="00A36800"/>
    <w:rsid w:val="00A4139F"/>
    <w:rsid w:val="00A416FC"/>
    <w:rsid w:val="00A452A3"/>
    <w:rsid w:val="00A4603E"/>
    <w:rsid w:val="00A460FF"/>
    <w:rsid w:val="00A47CAC"/>
    <w:rsid w:val="00A50009"/>
    <w:rsid w:val="00A510F5"/>
    <w:rsid w:val="00A513BD"/>
    <w:rsid w:val="00A55442"/>
    <w:rsid w:val="00A56D35"/>
    <w:rsid w:val="00A57DBB"/>
    <w:rsid w:val="00A62538"/>
    <w:rsid w:val="00A64618"/>
    <w:rsid w:val="00A67D40"/>
    <w:rsid w:val="00A7263A"/>
    <w:rsid w:val="00A72DF4"/>
    <w:rsid w:val="00A8044D"/>
    <w:rsid w:val="00A80F29"/>
    <w:rsid w:val="00A844AB"/>
    <w:rsid w:val="00A85A01"/>
    <w:rsid w:val="00A86BAA"/>
    <w:rsid w:val="00A97CFD"/>
    <w:rsid w:val="00AA2893"/>
    <w:rsid w:val="00AA2DB5"/>
    <w:rsid w:val="00AA2DE7"/>
    <w:rsid w:val="00AA33B0"/>
    <w:rsid w:val="00AA3C3C"/>
    <w:rsid w:val="00AA4CC7"/>
    <w:rsid w:val="00AB30DB"/>
    <w:rsid w:val="00AB3AA0"/>
    <w:rsid w:val="00AB4CA0"/>
    <w:rsid w:val="00AC35DF"/>
    <w:rsid w:val="00AC61E2"/>
    <w:rsid w:val="00AC6C71"/>
    <w:rsid w:val="00AD12D6"/>
    <w:rsid w:val="00AD356C"/>
    <w:rsid w:val="00AD49E9"/>
    <w:rsid w:val="00AD56E4"/>
    <w:rsid w:val="00AD6317"/>
    <w:rsid w:val="00AE02B8"/>
    <w:rsid w:val="00AE4331"/>
    <w:rsid w:val="00AE5CFC"/>
    <w:rsid w:val="00AF112E"/>
    <w:rsid w:val="00AF316E"/>
    <w:rsid w:val="00AF6F71"/>
    <w:rsid w:val="00B005D9"/>
    <w:rsid w:val="00B0232F"/>
    <w:rsid w:val="00B0535A"/>
    <w:rsid w:val="00B16BE0"/>
    <w:rsid w:val="00B20301"/>
    <w:rsid w:val="00B220AA"/>
    <w:rsid w:val="00B224E1"/>
    <w:rsid w:val="00B229C7"/>
    <w:rsid w:val="00B23331"/>
    <w:rsid w:val="00B24FE4"/>
    <w:rsid w:val="00B33CF2"/>
    <w:rsid w:val="00B3400D"/>
    <w:rsid w:val="00B413DE"/>
    <w:rsid w:val="00B451E3"/>
    <w:rsid w:val="00B46E0B"/>
    <w:rsid w:val="00B506CD"/>
    <w:rsid w:val="00B52BE5"/>
    <w:rsid w:val="00B5309B"/>
    <w:rsid w:val="00B53B30"/>
    <w:rsid w:val="00B5492B"/>
    <w:rsid w:val="00B57342"/>
    <w:rsid w:val="00B61AE9"/>
    <w:rsid w:val="00B63BB6"/>
    <w:rsid w:val="00B70E6A"/>
    <w:rsid w:val="00B70E81"/>
    <w:rsid w:val="00B713D5"/>
    <w:rsid w:val="00B71929"/>
    <w:rsid w:val="00B72014"/>
    <w:rsid w:val="00B840F5"/>
    <w:rsid w:val="00B84A04"/>
    <w:rsid w:val="00B85829"/>
    <w:rsid w:val="00B85942"/>
    <w:rsid w:val="00B914EB"/>
    <w:rsid w:val="00B92521"/>
    <w:rsid w:val="00B93BAD"/>
    <w:rsid w:val="00B96A63"/>
    <w:rsid w:val="00B97526"/>
    <w:rsid w:val="00B97B0D"/>
    <w:rsid w:val="00BA2979"/>
    <w:rsid w:val="00BA4394"/>
    <w:rsid w:val="00BA5F4E"/>
    <w:rsid w:val="00BA64F0"/>
    <w:rsid w:val="00BA7132"/>
    <w:rsid w:val="00BB2F76"/>
    <w:rsid w:val="00BB3F1D"/>
    <w:rsid w:val="00BB6FEE"/>
    <w:rsid w:val="00BB718C"/>
    <w:rsid w:val="00BC05BB"/>
    <w:rsid w:val="00BC159B"/>
    <w:rsid w:val="00BC16D6"/>
    <w:rsid w:val="00BC37E3"/>
    <w:rsid w:val="00BC6DEC"/>
    <w:rsid w:val="00BC6E91"/>
    <w:rsid w:val="00BD2861"/>
    <w:rsid w:val="00BD675E"/>
    <w:rsid w:val="00BE16F6"/>
    <w:rsid w:val="00BE3B36"/>
    <w:rsid w:val="00BE528E"/>
    <w:rsid w:val="00BE5DCF"/>
    <w:rsid w:val="00BF159E"/>
    <w:rsid w:val="00BF1A2F"/>
    <w:rsid w:val="00BF39E6"/>
    <w:rsid w:val="00BF48C1"/>
    <w:rsid w:val="00BF6FB1"/>
    <w:rsid w:val="00C07C49"/>
    <w:rsid w:val="00C13284"/>
    <w:rsid w:val="00C14BAC"/>
    <w:rsid w:val="00C2030D"/>
    <w:rsid w:val="00C24F41"/>
    <w:rsid w:val="00C30F7C"/>
    <w:rsid w:val="00C311F7"/>
    <w:rsid w:val="00C33DF7"/>
    <w:rsid w:val="00C36FDF"/>
    <w:rsid w:val="00C40C8F"/>
    <w:rsid w:val="00C50795"/>
    <w:rsid w:val="00C55332"/>
    <w:rsid w:val="00C55BFB"/>
    <w:rsid w:val="00C562E0"/>
    <w:rsid w:val="00C62F94"/>
    <w:rsid w:val="00C631C6"/>
    <w:rsid w:val="00C64883"/>
    <w:rsid w:val="00C664D0"/>
    <w:rsid w:val="00C66842"/>
    <w:rsid w:val="00C70F9C"/>
    <w:rsid w:val="00C7191F"/>
    <w:rsid w:val="00C71AA1"/>
    <w:rsid w:val="00C72F57"/>
    <w:rsid w:val="00C739DC"/>
    <w:rsid w:val="00C741FC"/>
    <w:rsid w:val="00C804E7"/>
    <w:rsid w:val="00C81CFB"/>
    <w:rsid w:val="00C87BE6"/>
    <w:rsid w:val="00C938D6"/>
    <w:rsid w:val="00C942C5"/>
    <w:rsid w:val="00C96B5F"/>
    <w:rsid w:val="00C96C7B"/>
    <w:rsid w:val="00CA0994"/>
    <w:rsid w:val="00CA1D84"/>
    <w:rsid w:val="00CA2AE2"/>
    <w:rsid w:val="00CA2F53"/>
    <w:rsid w:val="00CA4C56"/>
    <w:rsid w:val="00CB1299"/>
    <w:rsid w:val="00CB724F"/>
    <w:rsid w:val="00CC6EB2"/>
    <w:rsid w:val="00CD14FF"/>
    <w:rsid w:val="00CD2AD4"/>
    <w:rsid w:val="00CD37E8"/>
    <w:rsid w:val="00CD3C75"/>
    <w:rsid w:val="00CD7092"/>
    <w:rsid w:val="00CE144D"/>
    <w:rsid w:val="00CE1EB5"/>
    <w:rsid w:val="00CE4DF7"/>
    <w:rsid w:val="00CE534B"/>
    <w:rsid w:val="00CE53CD"/>
    <w:rsid w:val="00CE652B"/>
    <w:rsid w:val="00CF05E2"/>
    <w:rsid w:val="00CF2BCC"/>
    <w:rsid w:val="00CF76D1"/>
    <w:rsid w:val="00D00DE9"/>
    <w:rsid w:val="00D022AF"/>
    <w:rsid w:val="00D07973"/>
    <w:rsid w:val="00D07EE4"/>
    <w:rsid w:val="00D100E5"/>
    <w:rsid w:val="00D12B80"/>
    <w:rsid w:val="00D14FF9"/>
    <w:rsid w:val="00D162D3"/>
    <w:rsid w:val="00D20D6E"/>
    <w:rsid w:val="00D23280"/>
    <w:rsid w:val="00D24A2D"/>
    <w:rsid w:val="00D327A7"/>
    <w:rsid w:val="00D33583"/>
    <w:rsid w:val="00D33911"/>
    <w:rsid w:val="00D341B0"/>
    <w:rsid w:val="00D34D82"/>
    <w:rsid w:val="00D42A56"/>
    <w:rsid w:val="00D46166"/>
    <w:rsid w:val="00D50BC4"/>
    <w:rsid w:val="00D610B5"/>
    <w:rsid w:val="00D65BBA"/>
    <w:rsid w:val="00D7111E"/>
    <w:rsid w:val="00D72211"/>
    <w:rsid w:val="00D733BD"/>
    <w:rsid w:val="00D7533C"/>
    <w:rsid w:val="00D819DF"/>
    <w:rsid w:val="00D82E57"/>
    <w:rsid w:val="00D8510A"/>
    <w:rsid w:val="00D85F07"/>
    <w:rsid w:val="00D87ED9"/>
    <w:rsid w:val="00D90382"/>
    <w:rsid w:val="00D90711"/>
    <w:rsid w:val="00D91A72"/>
    <w:rsid w:val="00D92A43"/>
    <w:rsid w:val="00D94193"/>
    <w:rsid w:val="00D9643A"/>
    <w:rsid w:val="00D97CBA"/>
    <w:rsid w:val="00DA2137"/>
    <w:rsid w:val="00DA2428"/>
    <w:rsid w:val="00DA3EE8"/>
    <w:rsid w:val="00DA5097"/>
    <w:rsid w:val="00DA75B5"/>
    <w:rsid w:val="00DB1E59"/>
    <w:rsid w:val="00DB251A"/>
    <w:rsid w:val="00DB2E3C"/>
    <w:rsid w:val="00DB4E9D"/>
    <w:rsid w:val="00DB5594"/>
    <w:rsid w:val="00DB6A4C"/>
    <w:rsid w:val="00DC4509"/>
    <w:rsid w:val="00DC5595"/>
    <w:rsid w:val="00DC67F5"/>
    <w:rsid w:val="00DD1269"/>
    <w:rsid w:val="00DD2B0B"/>
    <w:rsid w:val="00DD53B1"/>
    <w:rsid w:val="00DD7700"/>
    <w:rsid w:val="00DE371F"/>
    <w:rsid w:val="00DE69F1"/>
    <w:rsid w:val="00DF0A40"/>
    <w:rsid w:val="00DF10E5"/>
    <w:rsid w:val="00DF2D3D"/>
    <w:rsid w:val="00DF5E06"/>
    <w:rsid w:val="00DF627B"/>
    <w:rsid w:val="00DF72D2"/>
    <w:rsid w:val="00E01405"/>
    <w:rsid w:val="00E07F8C"/>
    <w:rsid w:val="00E1395B"/>
    <w:rsid w:val="00E151C8"/>
    <w:rsid w:val="00E15A0B"/>
    <w:rsid w:val="00E20110"/>
    <w:rsid w:val="00E202D8"/>
    <w:rsid w:val="00E21AE0"/>
    <w:rsid w:val="00E23EC9"/>
    <w:rsid w:val="00E2483B"/>
    <w:rsid w:val="00E25B57"/>
    <w:rsid w:val="00E2753B"/>
    <w:rsid w:val="00E308B0"/>
    <w:rsid w:val="00E329FD"/>
    <w:rsid w:val="00E34585"/>
    <w:rsid w:val="00E34CC9"/>
    <w:rsid w:val="00E37152"/>
    <w:rsid w:val="00E45070"/>
    <w:rsid w:val="00E50528"/>
    <w:rsid w:val="00E54084"/>
    <w:rsid w:val="00E5673A"/>
    <w:rsid w:val="00E629F9"/>
    <w:rsid w:val="00E71ACA"/>
    <w:rsid w:val="00E76BB9"/>
    <w:rsid w:val="00E8001B"/>
    <w:rsid w:val="00E847D7"/>
    <w:rsid w:val="00E852E0"/>
    <w:rsid w:val="00E927CA"/>
    <w:rsid w:val="00E95BAD"/>
    <w:rsid w:val="00E96165"/>
    <w:rsid w:val="00E97CF7"/>
    <w:rsid w:val="00EA2548"/>
    <w:rsid w:val="00EA48BA"/>
    <w:rsid w:val="00EA4B6F"/>
    <w:rsid w:val="00EB15AE"/>
    <w:rsid w:val="00EB4642"/>
    <w:rsid w:val="00EB52D5"/>
    <w:rsid w:val="00EB6D42"/>
    <w:rsid w:val="00EB7E78"/>
    <w:rsid w:val="00EC15E9"/>
    <w:rsid w:val="00EC1BC2"/>
    <w:rsid w:val="00EC709A"/>
    <w:rsid w:val="00ED03E7"/>
    <w:rsid w:val="00ED464B"/>
    <w:rsid w:val="00ED7A98"/>
    <w:rsid w:val="00EE07FA"/>
    <w:rsid w:val="00EE2211"/>
    <w:rsid w:val="00EE3A09"/>
    <w:rsid w:val="00EE6207"/>
    <w:rsid w:val="00EE6F0E"/>
    <w:rsid w:val="00EE7EB6"/>
    <w:rsid w:val="00EF024B"/>
    <w:rsid w:val="00EF0D39"/>
    <w:rsid w:val="00EF33EA"/>
    <w:rsid w:val="00EF3B5B"/>
    <w:rsid w:val="00EF5608"/>
    <w:rsid w:val="00EF647A"/>
    <w:rsid w:val="00F00BDA"/>
    <w:rsid w:val="00F017A3"/>
    <w:rsid w:val="00F0218B"/>
    <w:rsid w:val="00F0281A"/>
    <w:rsid w:val="00F0716E"/>
    <w:rsid w:val="00F11797"/>
    <w:rsid w:val="00F20BD1"/>
    <w:rsid w:val="00F21D3E"/>
    <w:rsid w:val="00F23137"/>
    <w:rsid w:val="00F30C63"/>
    <w:rsid w:val="00F32169"/>
    <w:rsid w:val="00F33B3D"/>
    <w:rsid w:val="00F33C4F"/>
    <w:rsid w:val="00F33FBA"/>
    <w:rsid w:val="00F35E35"/>
    <w:rsid w:val="00F41484"/>
    <w:rsid w:val="00F41760"/>
    <w:rsid w:val="00F41F35"/>
    <w:rsid w:val="00F42B87"/>
    <w:rsid w:val="00F43587"/>
    <w:rsid w:val="00F44DCF"/>
    <w:rsid w:val="00F46ACA"/>
    <w:rsid w:val="00F47086"/>
    <w:rsid w:val="00F52B21"/>
    <w:rsid w:val="00F55476"/>
    <w:rsid w:val="00F57C2E"/>
    <w:rsid w:val="00F60292"/>
    <w:rsid w:val="00F6166F"/>
    <w:rsid w:val="00F647B2"/>
    <w:rsid w:val="00F66A3C"/>
    <w:rsid w:val="00F67387"/>
    <w:rsid w:val="00F701C9"/>
    <w:rsid w:val="00F715ED"/>
    <w:rsid w:val="00F82C91"/>
    <w:rsid w:val="00F97BB6"/>
    <w:rsid w:val="00FA4656"/>
    <w:rsid w:val="00FA5482"/>
    <w:rsid w:val="00FA7198"/>
    <w:rsid w:val="00FB37E8"/>
    <w:rsid w:val="00FB5CE6"/>
    <w:rsid w:val="00FC1A26"/>
    <w:rsid w:val="00FC36C2"/>
    <w:rsid w:val="00FC70BD"/>
    <w:rsid w:val="00FD0E93"/>
    <w:rsid w:val="00FD6557"/>
    <w:rsid w:val="00FE05C6"/>
    <w:rsid w:val="00FE08ED"/>
    <w:rsid w:val="00FE0D44"/>
    <w:rsid w:val="00FE4FB3"/>
    <w:rsid w:val="00FE5CEC"/>
    <w:rsid w:val="00FE6041"/>
    <w:rsid w:val="00FE79EA"/>
    <w:rsid w:val="00FF1AE0"/>
    <w:rsid w:val="00FF21BE"/>
    <w:rsid w:val="00FF3DC9"/>
    <w:rsid w:val="00FF53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A5987B-FBBE-4CEE-9C32-A1217A96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7EF"/>
    <w:pPr>
      <w:jc w:val="both"/>
    </w:pPr>
    <w:rPr>
      <w:rFonts w:ascii="Times New Roman" w:eastAsia="Times New Roman" w:hAnsi="Times New Roman"/>
    </w:rPr>
  </w:style>
  <w:style w:type="paragraph" w:styleId="Heading1">
    <w:name w:val="heading 1"/>
    <w:basedOn w:val="Normal"/>
    <w:next w:val="Normal"/>
    <w:link w:val="Heading1Char"/>
    <w:qFormat/>
    <w:rsid w:val="008F07EF"/>
    <w:pPr>
      <w:keepNext/>
      <w:jc w:val="center"/>
      <w:outlineLvl w:val="0"/>
    </w:pPr>
    <w:rPr>
      <w:rFonts w:ascii="Garamond" w:hAnsi="Garamond"/>
      <w:sz w:val="28"/>
      <w:lang w:val="es-ES" w:eastAsia="x-none"/>
    </w:rPr>
  </w:style>
  <w:style w:type="paragraph" w:styleId="Heading2">
    <w:name w:val="heading 2"/>
    <w:basedOn w:val="Normal"/>
    <w:next w:val="Normal"/>
    <w:link w:val="Heading2Char"/>
    <w:uiPriority w:val="9"/>
    <w:unhideWhenUsed/>
    <w:qFormat/>
    <w:rsid w:val="00626FF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8F07EF"/>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D92A43"/>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D92A43"/>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uiPriority w:val="9"/>
    <w:semiHidden/>
    <w:unhideWhenUsed/>
    <w:qFormat/>
    <w:rsid w:val="00AF112E"/>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uiPriority w:val="9"/>
    <w:semiHidden/>
    <w:unhideWhenUsed/>
    <w:qFormat/>
    <w:rsid w:val="004155D4"/>
    <w:pPr>
      <w:spacing w:before="240" w:after="60"/>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F07EF"/>
    <w:rPr>
      <w:rFonts w:ascii="Garamond" w:eastAsia="Times New Roman" w:hAnsi="Garamond" w:cs="Times New Roman"/>
      <w:sz w:val="28"/>
      <w:szCs w:val="20"/>
      <w:lang w:val="es-ES"/>
    </w:rPr>
  </w:style>
  <w:style w:type="character" w:customStyle="1" w:styleId="Heading3Char">
    <w:name w:val="Heading 3 Char"/>
    <w:link w:val="Heading3"/>
    <w:uiPriority w:val="9"/>
    <w:rsid w:val="008F07EF"/>
    <w:rPr>
      <w:rFonts w:ascii="Cambria" w:eastAsia="Times New Roman" w:hAnsi="Cambria" w:cs="Times New Roman"/>
      <w:b/>
      <w:bCs/>
      <w:sz w:val="26"/>
      <w:szCs w:val="26"/>
    </w:rPr>
  </w:style>
  <w:style w:type="paragraph" w:customStyle="1" w:styleId="Incisos">
    <w:name w:val="Incisos"/>
    <w:basedOn w:val="Normal"/>
    <w:rsid w:val="008F07EF"/>
    <w:pPr>
      <w:numPr>
        <w:numId w:val="1"/>
      </w:numPr>
      <w:tabs>
        <w:tab w:val="left" w:pos="864"/>
      </w:tabs>
      <w:spacing w:before="120" w:after="120"/>
    </w:pPr>
    <w:rPr>
      <w:sz w:val="22"/>
      <w:lang w:val="es-BO"/>
    </w:rPr>
  </w:style>
  <w:style w:type="paragraph" w:styleId="BodyText2">
    <w:name w:val="Body Text 2"/>
    <w:basedOn w:val="Normal"/>
    <w:link w:val="BodyText2Char"/>
    <w:semiHidden/>
    <w:rsid w:val="008F07EF"/>
    <w:rPr>
      <w:rFonts w:ascii="Garamond" w:hAnsi="Garamond"/>
      <w:sz w:val="28"/>
      <w:lang w:val="x-none" w:eastAsia="x-none"/>
    </w:rPr>
  </w:style>
  <w:style w:type="character" w:customStyle="1" w:styleId="BodyText2Char">
    <w:name w:val="Body Text 2 Char"/>
    <w:link w:val="BodyText2"/>
    <w:semiHidden/>
    <w:rsid w:val="008F07EF"/>
    <w:rPr>
      <w:rFonts w:ascii="Garamond" w:eastAsia="Times New Roman" w:hAnsi="Garamond" w:cs="Times New Roman"/>
      <w:sz w:val="28"/>
      <w:szCs w:val="20"/>
    </w:rPr>
  </w:style>
  <w:style w:type="paragraph" w:styleId="BodyTextIndent2">
    <w:name w:val="Body Text Indent 2"/>
    <w:basedOn w:val="Normal"/>
    <w:link w:val="BodyTextIndent2Char"/>
    <w:semiHidden/>
    <w:rsid w:val="008F07EF"/>
    <w:pPr>
      <w:ind w:left="-18"/>
    </w:pPr>
    <w:rPr>
      <w:sz w:val="24"/>
      <w:lang w:val="x-none" w:eastAsia="x-none"/>
    </w:rPr>
  </w:style>
  <w:style w:type="character" w:customStyle="1" w:styleId="BodyTextIndent2Char">
    <w:name w:val="Body Text Indent 2 Char"/>
    <w:link w:val="BodyTextIndent2"/>
    <w:semiHidden/>
    <w:rsid w:val="008F07EF"/>
    <w:rPr>
      <w:rFonts w:ascii="Times New Roman" w:eastAsia="Times New Roman" w:hAnsi="Times New Roman" w:cs="Times New Roman"/>
      <w:sz w:val="24"/>
      <w:szCs w:val="20"/>
    </w:rPr>
  </w:style>
  <w:style w:type="character" w:styleId="PageNumber">
    <w:name w:val="page number"/>
    <w:basedOn w:val="DefaultParagraphFont"/>
    <w:rsid w:val="008F07EF"/>
  </w:style>
  <w:style w:type="paragraph" w:styleId="Footer">
    <w:name w:val="footer"/>
    <w:basedOn w:val="Normal"/>
    <w:link w:val="FooterChar"/>
    <w:uiPriority w:val="99"/>
    <w:rsid w:val="008F07EF"/>
    <w:pPr>
      <w:tabs>
        <w:tab w:val="center" w:pos="4320"/>
        <w:tab w:val="right" w:pos="8640"/>
      </w:tabs>
    </w:pPr>
    <w:rPr>
      <w:rFonts w:ascii="Garamond" w:hAnsi="Garamond"/>
      <w:sz w:val="24"/>
      <w:lang w:val="es-ES" w:eastAsia="x-none"/>
    </w:rPr>
  </w:style>
  <w:style w:type="character" w:customStyle="1" w:styleId="FooterChar">
    <w:name w:val="Footer Char"/>
    <w:link w:val="Footer"/>
    <w:uiPriority w:val="99"/>
    <w:rsid w:val="008F07EF"/>
    <w:rPr>
      <w:rFonts w:ascii="Garamond" w:eastAsia="Times New Roman" w:hAnsi="Garamond" w:cs="Times New Roman"/>
      <w:sz w:val="24"/>
      <w:szCs w:val="20"/>
      <w:lang w:val="es-ES"/>
    </w:rPr>
  </w:style>
  <w:style w:type="paragraph" w:styleId="BodyText">
    <w:name w:val="Body Text"/>
    <w:basedOn w:val="Normal"/>
    <w:link w:val="BodyTextChar"/>
    <w:semiHidden/>
    <w:rsid w:val="008F07EF"/>
    <w:pPr>
      <w:jc w:val="center"/>
    </w:pPr>
    <w:rPr>
      <w:rFonts w:ascii="Garamond" w:hAnsi="Garamond"/>
      <w:b/>
      <w:sz w:val="28"/>
      <w:lang w:val="x-none" w:eastAsia="x-none"/>
    </w:rPr>
  </w:style>
  <w:style w:type="character" w:customStyle="1" w:styleId="BodyTextChar">
    <w:name w:val="Body Text Char"/>
    <w:link w:val="BodyText"/>
    <w:semiHidden/>
    <w:rsid w:val="008F07EF"/>
    <w:rPr>
      <w:rFonts w:ascii="Garamond" w:eastAsia="Times New Roman" w:hAnsi="Garamond" w:cs="Times New Roman"/>
      <w:b/>
      <w:sz w:val="28"/>
      <w:szCs w:val="20"/>
    </w:rPr>
  </w:style>
  <w:style w:type="paragraph" w:styleId="BalloonText">
    <w:name w:val="Balloon Text"/>
    <w:basedOn w:val="Normal"/>
    <w:link w:val="BalloonTextChar"/>
    <w:uiPriority w:val="99"/>
    <w:semiHidden/>
    <w:unhideWhenUsed/>
    <w:rsid w:val="008F07EF"/>
    <w:rPr>
      <w:rFonts w:ascii="Tahoma" w:hAnsi="Tahoma"/>
      <w:sz w:val="16"/>
      <w:szCs w:val="16"/>
      <w:lang w:val="x-none" w:eastAsia="x-none"/>
    </w:rPr>
  </w:style>
  <w:style w:type="character" w:customStyle="1" w:styleId="BalloonTextChar">
    <w:name w:val="Balloon Text Char"/>
    <w:link w:val="BalloonText"/>
    <w:uiPriority w:val="99"/>
    <w:semiHidden/>
    <w:rsid w:val="008F07EF"/>
    <w:rPr>
      <w:rFonts w:ascii="Tahoma" w:eastAsia="Times New Roman" w:hAnsi="Tahoma" w:cs="Tahoma"/>
      <w:sz w:val="16"/>
      <w:szCs w:val="16"/>
    </w:rPr>
  </w:style>
  <w:style w:type="paragraph" w:styleId="Header">
    <w:name w:val="header"/>
    <w:basedOn w:val="Normal"/>
    <w:link w:val="HeaderChar"/>
    <w:uiPriority w:val="99"/>
    <w:unhideWhenUsed/>
    <w:rsid w:val="008F07EF"/>
    <w:pPr>
      <w:tabs>
        <w:tab w:val="center" w:pos="4680"/>
        <w:tab w:val="right" w:pos="9360"/>
      </w:tabs>
    </w:pPr>
    <w:rPr>
      <w:lang w:val="x-none" w:eastAsia="x-none"/>
    </w:rPr>
  </w:style>
  <w:style w:type="character" w:customStyle="1" w:styleId="HeaderChar">
    <w:name w:val="Header Char"/>
    <w:link w:val="Header"/>
    <w:uiPriority w:val="99"/>
    <w:rsid w:val="008F07EF"/>
    <w:rPr>
      <w:rFonts w:ascii="Times New Roman" w:eastAsia="Times New Roman" w:hAnsi="Times New Roman" w:cs="Times New Roman"/>
      <w:sz w:val="20"/>
      <w:szCs w:val="20"/>
    </w:rPr>
  </w:style>
  <w:style w:type="paragraph" w:styleId="ListParagraph">
    <w:name w:val="List Paragraph"/>
    <w:basedOn w:val="Normal"/>
    <w:uiPriority w:val="34"/>
    <w:qFormat/>
    <w:rsid w:val="008F07EF"/>
    <w:pPr>
      <w:ind w:left="720"/>
    </w:pPr>
    <w:rPr>
      <w:sz w:val="24"/>
      <w:szCs w:val="24"/>
    </w:rPr>
  </w:style>
  <w:style w:type="paragraph" w:styleId="BodyTextIndent">
    <w:name w:val="Body Text Indent"/>
    <w:basedOn w:val="Normal"/>
    <w:link w:val="BodyTextIndentChar"/>
    <w:uiPriority w:val="99"/>
    <w:unhideWhenUsed/>
    <w:rsid w:val="008F07EF"/>
    <w:pPr>
      <w:spacing w:after="120"/>
      <w:ind w:left="360"/>
    </w:pPr>
    <w:rPr>
      <w:lang w:val="x-none" w:eastAsia="x-none"/>
    </w:rPr>
  </w:style>
  <w:style w:type="character" w:customStyle="1" w:styleId="BodyTextIndentChar">
    <w:name w:val="Body Text Indent Char"/>
    <w:link w:val="BodyTextIndent"/>
    <w:uiPriority w:val="99"/>
    <w:rsid w:val="008F07EF"/>
    <w:rPr>
      <w:rFonts w:ascii="Times New Roman" w:eastAsia="Times New Roman" w:hAnsi="Times New Roman" w:cs="Times New Roman"/>
      <w:sz w:val="20"/>
      <w:szCs w:val="20"/>
    </w:rPr>
  </w:style>
  <w:style w:type="table" w:styleId="TableGrid">
    <w:name w:val="Table Grid"/>
    <w:basedOn w:val="TableNormal"/>
    <w:uiPriority w:val="59"/>
    <w:rsid w:val="008F07E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C4509"/>
    <w:pPr>
      <w:autoSpaceDE w:val="0"/>
      <w:autoSpaceDN w:val="0"/>
      <w:adjustRightInd w:val="0"/>
      <w:jc w:val="both"/>
    </w:pPr>
    <w:rPr>
      <w:rFonts w:ascii="Arial" w:hAnsi="Arial" w:cs="Arial"/>
      <w:color w:val="000000"/>
      <w:sz w:val="24"/>
      <w:szCs w:val="24"/>
    </w:rPr>
  </w:style>
  <w:style w:type="paragraph" w:styleId="PlainText">
    <w:name w:val="Plain Text"/>
    <w:basedOn w:val="Normal"/>
    <w:link w:val="PlainTextChar"/>
    <w:semiHidden/>
    <w:rsid w:val="00025BB0"/>
    <w:pPr>
      <w:widowControl w:val="0"/>
    </w:pPr>
    <w:rPr>
      <w:rFonts w:ascii="Courier New" w:hAnsi="Courier New"/>
      <w:lang w:val="es-ES_tradnl" w:eastAsia="x-none"/>
    </w:rPr>
  </w:style>
  <w:style w:type="character" w:customStyle="1" w:styleId="PlainTextChar">
    <w:name w:val="Plain Text Char"/>
    <w:link w:val="PlainText"/>
    <w:semiHidden/>
    <w:rsid w:val="00025BB0"/>
    <w:rPr>
      <w:rFonts w:ascii="Courier New" w:eastAsia="Times New Roman" w:hAnsi="Courier New" w:cs="Times New Roman"/>
      <w:sz w:val="20"/>
      <w:szCs w:val="20"/>
      <w:lang w:val="es-ES_tradnl"/>
    </w:rPr>
  </w:style>
  <w:style w:type="character" w:customStyle="1" w:styleId="Heading8Char">
    <w:name w:val="Heading 8 Char"/>
    <w:link w:val="Heading8"/>
    <w:uiPriority w:val="9"/>
    <w:semiHidden/>
    <w:rsid w:val="004155D4"/>
    <w:rPr>
      <w:rFonts w:ascii="Calibri" w:eastAsia="Times New Roman" w:hAnsi="Calibri" w:cs="Times New Roman"/>
      <w:i/>
      <w:iCs/>
      <w:sz w:val="24"/>
      <w:szCs w:val="24"/>
    </w:rPr>
  </w:style>
  <w:style w:type="character" w:customStyle="1" w:styleId="Heading4Char">
    <w:name w:val="Heading 4 Char"/>
    <w:link w:val="Heading4"/>
    <w:uiPriority w:val="9"/>
    <w:semiHidden/>
    <w:rsid w:val="00D92A43"/>
    <w:rPr>
      <w:rFonts w:ascii="Calibri" w:eastAsia="Times New Roman" w:hAnsi="Calibri" w:cs="Times New Roman"/>
      <w:b/>
      <w:bCs/>
      <w:sz w:val="28"/>
      <w:szCs w:val="28"/>
    </w:rPr>
  </w:style>
  <w:style w:type="character" w:customStyle="1" w:styleId="Heading5Char">
    <w:name w:val="Heading 5 Char"/>
    <w:link w:val="Heading5"/>
    <w:uiPriority w:val="9"/>
    <w:semiHidden/>
    <w:rsid w:val="00D92A43"/>
    <w:rPr>
      <w:rFonts w:ascii="Calibri" w:eastAsia="Times New Roman" w:hAnsi="Calibri" w:cs="Times New Roman"/>
      <w:b/>
      <w:bCs/>
      <w:i/>
      <w:iCs/>
      <w:sz w:val="26"/>
      <w:szCs w:val="26"/>
    </w:rPr>
  </w:style>
  <w:style w:type="character" w:customStyle="1" w:styleId="Heading2Char">
    <w:name w:val="Heading 2 Char"/>
    <w:link w:val="Heading2"/>
    <w:uiPriority w:val="9"/>
    <w:rsid w:val="00626FF7"/>
    <w:rPr>
      <w:rFonts w:ascii="Cambria" w:eastAsia="Times New Roman" w:hAnsi="Cambria" w:cs="Times New Roman"/>
      <w:b/>
      <w:bCs/>
      <w:i/>
      <w:iCs/>
      <w:sz w:val="28"/>
      <w:szCs w:val="28"/>
    </w:rPr>
  </w:style>
  <w:style w:type="character" w:styleId="Emphasis">
    <w:name w:val="Emphasis"/>
    <w:uiPriority w:val="20"/>
    <w:qFormat/>
    <w:rsid w:val="001B596A"/>
    <w:rPr>
      <w:i/>
      <w:iCs/>
    </w:rPr>
  </w:style>
  <w:style w:type="paragraph" w:styleId="NoSpacing">
    <w:name w:val="No Spacing"/>
    <w:uiPriority w:val="1"/>
    <w:qFormat/>
    <w:rsid w:val="00AE5CFC"/>
    <w:pPr>
      <w:jc w:val="both"/>
    </w:pPr>
    <w:rPr>
      <w:rFonts w:ascii="Times New Roman" w:eastAsia="Times New Roman" w:hAnsi="Times New Roman"/>
    </w:rPr>
  </w:style>
  <w:style w:type="character" w:customStyle="1" w:styleId="Heading7Char">
    <w:name w:val="Heading 7 Char"/>
    <w:link w:val="Heading7"/>
    <w:uiPriority w:val="9"/>
    <w:semiHidden/>
    <w:rsid w:val="00AF112E"/>
    <w:rPr>
      <w:rFonts w:ascii="Calibri" w:eastAsia="Times New Roman" w:hAnsi="Calibri" w:cs="Times New Roman"/>
      <w:sz w:val="24"/>
      <w:szCs w:val="24"/>
    </w:rPr>
  </w:style>
  <w:style w:type="character" w:styleId="Hyperlink">
    <w:name w:val="Hyperlink"/>
    <w:rsid w:val="00AF112E"/>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5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DBAD-9447-4CEF-AE03-67201BCE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Banking and Financial Institutions (Microfinance Activities)</vt:lpstr>
    </vt:vector>
  </TitlesOfParts>
  <Company>Toshiba</Company>
  <LinksUpToDate>false</LinksUpToDate>
  <CharactersWithSpaces>15147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and Financial Institutions (Microfinance Activities)</dc:title>
  <dc:subject/>
  <dc:creator>ALEXM</dc:creator>
  <cp:keywords/>
  <cp:lastModifiedBy>Albert Mkenda</cp:lastModifiedBy>
  <cp:revision>8</cp:revision>
  <cp:lastPrinted>2015-04-27T07:34:00Z</cp:lastPrinted>
  <dcterms:created xsi:type="dcterms:W3CDTF">2015-04-17T12:29:00Z</dcterms:created>
  <dcterms:modified xsi:type="dcterms:W3CDTF">2015-05-08T05:51:00Z</dcterms:modified>
</cp:coreProperties>
</file>